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DFA9" w14:textId="59558B7F" w:rsidR="00E85096" w:rsidRPr="00675084" w:rsidRDefault="00433942" w:rsidP="006750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Rough Hay Surgery </w:t>
      </w:r>
      <w:r w:rsidR="004E647A">
        <w:rPr>
          <w:rFonts w:ascii="Arial" w:hAnsi="Arial" w:cs="Arial"/>
          <w:b/>
          <w:sz w:val="36"/>
          <w:szCs w:val="36"/>
        </w:rPr>
        <w:t xml:space="preserve">New Patient Registration </w:t>
      </w:r>
      <w:r w:rsidR="003E668B">
        <w:rPr>
          <w:rFonts w:ascii="Arial" w:hAnsi="Arial" w:cs="Arial"/>
          <w:b/>
          <w:sz w:val="36"/>
          <w:szCs w:val="36"/>
        </w:rPr>
        <w:t>Policy</w:t>
      </w:r>
    </w:p>
    <w:p w14:paraId="34CF158F" w14:textId="77777777" w:rsidR="00E85096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21"/>
        <w:gridCol w:w="1847"/>
        <w:gridCol w:w="3118"/>
        <w:gridCol w:w="2634"/>
      </w:tblGrid>
      <w:tr w:rsidR="00675084" w:rsidRPr="00CD3C24" w14:paraId="522235BE" w14:textId="77777777" w:rsidTr="00D71012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6862F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862F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6862F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862F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18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6862F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862F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6862F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862F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26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6862F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862F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CD3C24" w14:paraId="75B3BBF8" w14:textId="77777777" w:rsidTr="00D71012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4912B" w14:textId="23B30D75" w:rsidR="00675084" w:rsidRPr="006862FE" w:rsidRDefault="001E25BC" w:rsidP="00515291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1.0</w:t>
            </w:r>
          </w:p>
        </w:tc>
        <w:tc>
          <w:tcPr>
            <w:tcW w:w="20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F1DB9C" w14:textId="11855373" w:rsidR="00675084" w:rsidRPr="006862FE" w:rsidRDefault="00D71012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14.09.23</w:t>
            </w:r>
          </w:p>
        </w:tc>
        <w:tc>
          <w:tcPr>
            <w:tcW w:w="18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82EA54" w14:textId="221C19F7" w:rsidR="00675084" w:rsidRPr="006862FE" w:rsidRDefault="00D71012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Judy Lampitt</w:t>
            </w: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47F9E" w14:textId="394395CA" w:rsidR="00675084" w:rsidRPr="006862FE" w:rsidRDefault="00D71012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Lauren burgess Edwards</w:t>
            </w:r>
          </w:p>
        </w:tc>
        <w:tc>
          <w:tcPr>
            <w:tcW w:w="26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0A7D7" w14:textId="23BB2BC2" w:rsidR="00675084" w:rsidRPr="006862FE" w:rsidRDefault="00D71012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Review in 12 months</w:t>
            </w:r>
          </w:p>
        </w:tc>
      </w:tr>
      <w:tr w:rsidR="00675084" w:rsidRPr="00CD3C24" w14:paraId="7C35111B" w14:textId="77777777" w:rsidTr="00D71012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3F0345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6D3062" w14:textId="20955669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E5C98F" w14:textId="4C52D625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72685C" w14:textId="48E9CC63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1A838B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5084" w:rsidRPr="00CD3C24" w14:paraId="0E2C595C" w14:textId="77777777" w:rsidTr="00D71012">
        <w:trPr>
          <w:trHeight w:val="368"/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E400F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C2DAE" w14:textId="1C20B544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8148D3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D38D9C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EC7409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5084" w:rsidRPr="00CD3C24" w14:paraId="12E8CE9E" w14:textId="77777777" w:rsidTr="00D71012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6CDAF7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90694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1E353B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ECEDA0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65011E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4A22122" w14:textId="77777777" w:rsidR="00E85096" w:rsidRDefault="00E85096">
      <w:pPr>
        <w:rPr>
          <w:rFonts w:ascii="Arial" w:hAnsi="Arial" w:cs="Arial"/>
          <w:sz w:val="28"/>
          <w:szCs w:val="28"/>
        </w:rPr>
      </w:pPr>
    </w:p>
    <w:p w14:paraId="4ADDD4F7" w14:textId="125E9F1C" w:rsidR="000858D5" w:rsidRPr="00BE4B68" w:rsidRDefault="00D05574">
      <w:pPr>
        <w:rPr>
          <w:rFonts w:ascii="Arial" w:hAnsi="Arial" w:cs="Arial"/>
          <w:b/>
          <w:sz w:val="28"/>
          <w:szCs w:val="28"/>
        </w:rPr>
      </w:pPr>
      <w:r w:rsidRPr="00BE4B68">
        <w:rPr>
          <w:rFonts w:ascii="Arial" w:hAnsi="Arial" w:cs="Arial"/>
          <w:b/>
          <w:sz w:val="28"/>
          <w:szCs w:val="28"/>
        </w:rPr>
        <w:t>Table of c</w:t>
      </w:r>
      <w:r w:rsidR="000858D5" w:rsidRPr="00BE4B68">
        <w:rPr>
          <w:rFonts w:ascii="Arial" w:hAnsi="Arial" w:cs="Arial"/>
          <w:b/>
          <w:sz w:val="28"/>
          <w:szCs w:val="28"/>
        </w:rPr>
        <w:t>ontents</w:t>
      </w:r>
    </w:p>
    <w:p w14:paraId="33C591FC" w14:textId="77777777" w:rsidR="00EB54C4" w:rsidRPr="006862FE" w:rsidRDefault="00D85E4D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r w:rsidRPr="006862FE">
        <w:rPr>
          <w:rFonts w:ascii="Arial" w:hAnsi="Arial" w:cs="Arial"/>
          <w:b w:val="0"/>
          <w:sz w:val="20"/>
          <w:szCs w:val="28"/>
        </w:rPr>
        <w:fldChar w:fldCharType="begin"/>
      </w:r>
      <w:r w:rsidRPr="006862FE">
        <w:rPr>
          <w:rFonts w:ascii="Arial" w:hAnsi="Arial" w:cs="Arial"/>
          <w:b w:val="0"/>
          <w:sz w:val="20"/>
          <w:szCs w:val="28"/>
        </w:rPr>
        <w:instrText xml:space="preserve"> TOC \o "1-3" \h \z \u </w:instrText>
      </w:r>
      <w:r w:rsidRPr="006862FE">
        <w:rPr>
          <w:rFonts w:ascii="Arial" w:hAnsi="Arial" w:cs="Arial"/>
          <w:b w:val="0"/>
          <w:sz w:val="20"/>
          <w:szCs w:val="28"/>
        </w:rPr>
        <w:fldChar w:fldCharType="separate"/>
      </w:r>
      <w:hyperlink w:anchor="_Toc499911240" w:history="1">
        <w:r w:rsidR="00EB54C4" w:rsidRPr="006862FE">
          <w:rPr>
            <w:rStyle w:val="Hyperlink"/>
            <w:rFonts w:ascii="Arial" w:hAnsi="Arial" w:cs="Arial"/>
            <w:noProof/>
          </w:rPr>
          <w:t>1</w:t>
        </w:r>
        <w:r w:rsidR="00EB54C4" w:rsidRPr="006862FE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caps w:val="0"/>
            <w:noProof/>
          </w:rPr>
          <w:t>Introduction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_Toc499911240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3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3D7E3209" w14:textId="77777777" w:rsidR="00EB54C4" w:rsidRPr="006862F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41" w:history="1">
        <w:r w:rsidR="00EB54C4" w:rsidRPr="006862FE">
          <w:rPr>
            <w:rStyle w:val="Hyperlink"/>
            <w:rFonts w:ascii="Arial" w:hAnsi="Arial" w:cs="Arial"/>
            <w:noProof/>
          </w:rPr>
          <w:t>1.1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noProof/>
          </w:rPr>
          <w:t>Policy statement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_Toc499911241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3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2D5253AB" w14:textId="77777777" w:rsidR="00EB54C4" w:rsidRPr="006862F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42" w:history="1">
        <w:r w:rsidR="00EB54C4" w:rsidRPr="006862FE">
          <w:rPr>
            <w:rStyle w:val="Hyperlink"/>
            <w:rFonts w:ascii="Arial" w:hAnsi="Arial" w:cs="Arial"/>
            <w:noProof/>
          </w:rPr>
          <w:t>1.2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noProof/>
          </w:rPr>
          <w:t>Principles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_Toc499911242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3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4A609D23" w14:textId="77777777" w:rsidR="00EB54C4" w:rsidRPr="006862F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43" w:history="1">
        <w:r w:rsidR="00EB54C4" w:rsidRPr="006862FE">
          <w:rPr>
            <w:rStyle w:val="Hyperlink"/>
            <w:rFonts w:ascii="Arial" w:hAnsi="Arial" w:cs="Arial"/>
            <w:noProof/>
          </w:rPr>
          <w:t>1.3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noProof/>
          </w:rPr>
          <w:t>Status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_Toc499911243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3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777935A2" w14:textId="681B7918" w:rsidR="00EB54C4" w:rsidRPr="006862F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44" w:history="1">
        <w:r w:rsidR="00EB54C4" w:rsidRPr="006862FE">
          <w:rPr>
            <w:rStyle w:val="Hyperlink"/>
            <w:rFonts w:ascii="Arial" w:hAnsi="Arial" w:cs="Arial"/>
            <w:noProof/>
          </w:rPr>
          <w:t>1.4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noProof/>
          </w:rPr>
          <w:t>Training and support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3</w:t>
        </w:r>
      </w:hyperlink>
    </w:p>
    <w:p w14:paraId="000B739A" w14:textId="30A08B96" w:rsidR="00EB54C4" w:rsidRPr="006862FE" w:rsidRDefault="00000000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499911245" w:history="1">
        <w:r w:rsidR="00EB54C4" w:rsidRPr="006862FE">
          <w:rPr>
            <w:rStyle w:val="Hyperlink"/>
            <w:rFonts w:ascii="Arial" w:hAnsi="Arial" w:cs="Arial"/>
            <w:noProof/>
          </w:rPr>
          <w:t>2</w:t>
        </w:r>
        <w:r w:rsidR="00EB54C4" w:rsidRPr="006862FE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caps w:val="0"/>
            <w:noProof/>
          </w:rPr>
          <w:t>Scope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3</w:t>
        </w:r>
      </w:hyperlink>
    </w:p>
    <w:p w14:paraId="525E9636" w14:textId="77777777" w:rsidR="00EB54C4" w:rsidRPr="006862F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46" w:history="1">
        <w:r w:rsidR="00EB54C4" w:rsidRPr="006862FE">
          <w:rPr>
            <w:rStyle w:val="Hyperlink"/>
            <w:rFonts w:ascii="Arial" w:hAnsi="Arial" w:cs="Arial"/>
            <w:noProof/>
          </w:rPr>
          <w:t>2.1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noProof/>
          </w:rPr>
          <w:t>Who it applies to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_Toc499911246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4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11B58976" w14:textId="6BC2EAFD" w:rsidR="00EB54C4" w:rsidRPr="006862F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47" w:history="1">
        <w:r w:rsidR="00EB54C4" w:rsidRPr="006862FE">
          <w:rPr>
            <w:rStyle w:val="Hyperlink"/>
            <w:rFonts w:ascii="Arial" w:hAnsi="Arial" w:cs="Arial"/>
            <w:noProof/>
          </w:rPr>
          <w:t>2.2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noProof/>
          </w:rPr>
          <w:t xml:space="preserve">Why </w:t>
        </w:r>
        <w:r w:rsidR="006862FE">
          <w:rPr>
            <w:rStyle w:val="Hyperlink"/>
            <w:rFonts w:ascii="Arial" w:hAnsi="Arial" w:cs="Arial"/>
            <w:noProof/>
          </w:rPr>
          <w:t>and how it applies to them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_Toc499911247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4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7C672DEF" w14:textId="18DB7C0B" w:rsidR="00EB54C4" w:rsidRPr="006862FE" w:rsidRDefault="00000000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499911248" w:history="1">
        <w:r w:rsidR="00EB54C4" w:rsidRPr="006862FE">
          <w:rPr>
            <w:rStyle w:val="Hyperlink"/>
            <w:rFonts w:ascii="Arial" w:hAnsi="Arial" w:cs="Arial"/>
            <w:noProof/>
          </w:rPr>
          <w:t>3</w:t>
        </w:r>
        <w:r w:rsidR="00EB54C4" w:rsidRPr="006862FE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6862FE">
          <w:rPr>
            <w:rStyle w:val="Hyperlink"/>
            <w:rFonts w:ascii="Arial" w:hAnsi="Arial" w:cs="Arial"/>
            <w:caps w:val="0"/>
            <w:noProof/>
          </w:rPr>
          <w:t>Patient r</w:t>
        </w:r>
        <w:r w:rsidR="00EB54C4" w:rsidRPr="006862FE">
          <w:rPr>
            <w:rStyle w:val="Hyperlink"/>
            <w:rFonts w:ascii="Arial" w:hAnsi="Arial" w:cs="Arial"/>
            <w:caps w:val="0"/>
            <w:noProof/>
          </w:rPr>
          <w:t>egistration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_Toc499911248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4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1D5A2143" w14:textId="40329282" w:rsidR="00EB54C4" w:rsidRPr="006862F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49" w:history="1">
        <w:r w:rsidR="00EB54C4" w:rsidRPr="006862FE">
          <w:rPr>
            <w:rStyle w:val="Hyperlink"/>
            <w:rFonts w:ascii="Arial" w:hAnsi="Arial" w:cs="Arial"/>
            <w:noProof/>
          </w:rPr>
          <w:t>3.1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Legislative c</w:t>
        </w:r>
        <w:r w:rsidR="00EB54C4" w:rsidRPr="006862FE">
          <w:rPr>
            <w:rStyle w:val="Hyperlink"/>
            <w:rFonts w:ascii="Arial" w:hAnsi="Arial" w:cs="Arial"/>
            <w:noProof/>
          </w:rPr>
          <w:t>ompliance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_Toc499911249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4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25BACF7F" w14:textId="1A843590" w:rsidR="00EB54C4" w:rsidRPr="006862F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50" w:history="1">
        <w:r w:rsidR="00EB54C4" w:rsidRPr="006862FE">
          <w:rPr>
            <w:rStyle w:val="Hyperlink"/>
            <w:rFonts w:ascii="Arial" w:hAnsi="Arial" w:cs="Arial"/>
            <w:noProof/>
          </w:rPr>
          <w:t>3.2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Declining a</w:t>
        </w:r>
        <w:r w:rsidR="00EB54C4" w:rsidRPr="006862FE">
          <w:rPr>
            <w:rStyle w:val="Hyperlink"/>
            <w:rFonts w:ascii="Arial" w:hAnsi="Arial" w:cs="Arial"/>
            <w:noProof/>
          </w:rPr>
          <w:t>pplications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4</w:t>
        </w:r>
      </w:hyperlink>
    </w:p>
    <w:p w14:paraId="0AB711E8" w14:textId="6FBBC296" w:rsidR="00EB54C4" w:rsidRPr="006862F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51" w:history="1">
        <w:r w:rsidR="00EB54C4" w:rsidRPr="006862FE">
          <w:rPr>
            <w:rStyle w:val="Hyperlink"/>
            <w:rFonts w:ascii="Arial" w:hAnsi="Arial" w:cs="Arial"/>
            <w:noProof/>
          </w:rPr>
          <w:t>3.3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Practice a</w:t>
        </w:r>
        <w:r w:rsidR="00EB54C4" w:rsidRPr="006862FE">
          <w:rPr>
            <w:rStyle w:val="Hyperlink"/>
            <w:rFonts w:ascii="Arial" w:hAnsi="Arial" w:cs="Arial"/>
            <w:noProof/>
          </w:rPr>
          <w:t>rea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_Toc499911251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5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2C36B1CC" w14:textId="64A49DE2" w:rsidR="00EB54C4" w:rsidRPr="006862F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52" w:history="1">
        <w:r w:rsidR="00EB54C4" w:rsidRPr="006862FE">
          <w:rPr>
            <w:rStyle w:val="Hyperlink"/>
            <w:rFonts w:ascii="Arial" w:hAnsi="Arial" w:cs="Arial"/>
            <w:noProof/>
          </w:rPr>
          <w:t>3.4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Registering the p</w:t>
        </w:r>
        <w:r w:rsidR="00EB54C4" w:rsidRPr="006862FE">
          <w:rPr>
            <w:rStyle w:val="Hyperlink"/>
            <w:rFonts w:ascii="Arial" w:hAnsi="Arial" w:cs="Arial"/>
            <w:noProof/>
          </w:rPr>
          <w:t>atient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5</w:t>
        </w:r>
      </w:hyperlink>
    </w:p>
    <w:p w14:paraId="494FA1A5" w14:textId="04FF1028" w:rsidR="00EB54C4" w:rsidRPr="006862F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53" w:history="1">
        <w:r w:rsidR="00EB54C4" w:rsidRPr="006862FE">
          <w:rPr>
            <w:rStyle w:val="Hyperlink"/>
            <w:rFonts w:ascii="Arial" w:hAnsi="Arial" w:cs="Arial"/>
            <w:noProof/>
          </w:rPr>
          <w:t>3.5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Registering c</w:t>
        </w:r>
        <w:r w:rsidR="00EB54C4" w:rsidRPr="006862FE">
          <w:rPr>
            <w:rStyle w:val="Hyperlink"/>
            <w:rFonts w:ascii="Arial" w:hAnsi="Arial" w:cs="Arial"/>
            <w:noProof/>
          </w:rPr>
          <w:t>hildren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5</w:t>
        </w:r>
      </w:hyperlink>
    </w:p>
    <w:p w14:paraId="0EF91C2C" w14:textId="70576568" w:rsidR="00EB54C4" w:rsidRPr="006862F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54" w:history="1">
        <w:r w:rsidR="00EB54C4" w:rsidRPr="006862FE">
          <w:rPr>
            <w:rStyle w:val="Hyperlink"/>
            <w:rFonts w:ascii="Arial" w:hAnsi="Arial" w:cs="Arial"/>
            <w:noProof/>
          </w:rPr>
          <w:t>3.6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Registering v</w:t>
        </w:r>
        <w:r w:rsidR="00EB54C4" w:rsidRPr="006862FE">
          <w:rPr>
            <w:rStyle w:val="Hyperlink"/>
            <w:rFonts w:ascii="Arial" w:hAnsi="Arial" w:cs="Arial"/>
            <w:noProof/>
          </w:rPr>
          <w:t>eterans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_Toc499911254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6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05BA86AD" w14:textId="29664A4E" w:rsidR="00EB54C4" w:rsidRPr="006862F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55" w:history="1">
        <w:r w:rsidR="00EB54C4" w:rsidRPr="006862FE">
          <w:rPr>
            <w:rStyle w:val="Hyperlink"/>
            <w:rFonts w:ascii="Arial" w:hAnsi="Arial" w:cs="Arial"/>
            <w:noProof/>
          </w:rPr>
          <w:t>3.7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Temporary r</w:t>
        </w:r>
        <w:r w:rsidR="00EB54C4" w:rsidRPr="006862FE">
          <w:rPr>
            <w:rStyle w:val="Hyperlink"/>
            <w:rFonts w:ascii="Arial" w:hAnsi="Arial" w:cs="Arial"/>
            <w:noProof/>
          </w:rPr>
          <w:t>esidents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_Toc499911255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6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3DDF1084" w14:textId="200A8F35" w:rsidR="00EB54C4" w:rsidRPr="006862FE" w:rsidRDefault="00000000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499911266" w:history="1">
        <w:r w:rsidR="00A80FA1">
          <w:rPr>
            <w:rStyle w:val="Hyperlink"/>
            <w:rFonts w:ascii="Arial" w:hAnsi="Arial" w:cs="Arial"/>
            <w:noProof/>
          </w:rPr>
          <w:t>4</w:t>
        </w:r>
        <w:r w:rsidR="00EB54C4" w:rsidRPr="006862FE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caps w:val="0"/>
            <w:noProof/>
          </w:rPr>
          <w:t>Ne</w:t>
        </w:r>
        <w:r w:rsidR="006862FE">
          <w:rPr>
            <w:rStyle w:val="Hyperlink"/>
            <w:rFonts w:ascii="Arial" w:hAnsi="Arial" w:cs="Arial"/>
            <w:caps w:val="0"/>
            <w:noProof/>
          </w:rPr>
          <w:t>w patient health c</w:t>
        </w:r>
        <w:r w:rsidR="00EB54C4" w:rsidRPr="006862FE">
          <w:rPr>
            <w:rStyle w:val="Hyperlink"/>
            <w:rFonts w:ascii="Arial" w:hAnsi="Arial" w:cs="Arial"/>
            <w:caps w:val="0"/>
            <w:noProof/>
          </w:rPr>
          <w:t>heck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6</w:t>
        </w:r>
      </w:hyperlink>
    </w:p>
    <w:p w14:paraId="31896CA9" w14:textId="2B8C5CAE" w:rsidR="00EB54C4" w:rsidRPr="006862F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67" w:history="1">
        <w:r w:rsidR="00A80FA1">
          <w:rPr>
            <w:rStyle w:val="Hyperlink"/>
            <w:rFonts w:ascii="Arial" w:hAnsi="Arial" w:cs="Arial"/>
            <w:noProof/>
          </w:rPr>
          <w:t>4.1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noProof/>
          </w:rPr>
          <w:t>Eligibility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6</w:t>
        </w:r>
      </w:hyperlink>
    </w:p>
    <w:p w14:paraId="001A6EC8" w14:textId="2FDDEECF" w:rsidR="00EB54C4" w:rsidRPr="006862F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68" w:history="1">
        <w:r w:rsidR="00A80FA1">
          <w:rPr>
            <w:rStyle w:val="Hyperlink"/>
            <w:rFonts w:ascii="Arial" w:hAnsi="Arial" w:cs="Arial"/>
            <w:noProof/>
          </w:rPr>
          <w:t>4</w:t>
        </w:r>
        <w:r w:rsidR="00EB54C4" w:rsidRPr="006862FE">
          <w:rPr>
            <w:rStyle w:val="Hyperlink"/>
            <w:rFonts w:ascii="Arial" w:hAnsi="Arial" w:cs="Arial"/>
            <w:noProof/>
          </w:rPr>
          <w:t>.2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noProof/>
          </w:rPr>
          <w:t>Purpose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6</w:t>
        </w:r>
      </w:hyperlink>
    </w:p>
    <w:p w14:paraId="1118AAE7" w14:textId="7956BD1C" w:rsidR="00EB54C4" w:rsidRPr="006862F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69" w:history="1">
        <w:r w:rsidR="00A80FA1">
          <w:rPr>
            <w:rStyle w:val="Hyperlink"/>
            <w:rFonts w:ascii="Arial" w:hAnsi="Arial" w:cs="Arial"/>
            <w:noProof/>
          </w:rPr>
          <w:t>4</w:t>
        </w:r>
        <w:r w:rsidR="00EB54C4" w:rsidRPr="006862FE">
          <w:rPr>
            <w:rStyle w:val="Hyperlink"/>
            <w:rFonts w:ascii="Arial" w:hAnsi="Arial" w:cs="Arial"/>
            <w:noProof/>
          </w:rPr>
          <w:t>.3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Patient i</w:t>
        </w:r>
        <w:r w:rsidR="00EB54C4" w:rsidRPr="006862FE">
          <w:rPr>
            <w:rStyle w:val="Hyperlink"/>
            <w:rFonts w:ascii="Arial" w:hAnsi="Arial" w:cs="Arial"/>
            <w:noProof/>
          </w:rPr>
          <w:t>nvitation</w:t>
        </w:r>
        <w:r w:rsidR="00EB54C4" w:rsidRPr="006862FE">
          <w:rPr>
            <w:rFonts w:ascii="Arial" w:hAnsi="Arial" w:cs="Arial"/>
            <w:noProof/>
            <w:webHidden/>
          </w:rPr>
          <w:tab/>
        </w:r>
      </w:hyperlink>
      <w:r w:rsidR="00A80FA1">
        <w:rPr>
          <w:rFonts w:ascii="Arial" w:hAnsi="Arial" w:cs="Arial"/>
          <w:noProof/>
        </w:rPr>
        <w:t>6</w:t>
      </w:r>
    </w:p>
    <w:p w14:paraId="7A6114E4" w14:textId="4CCEE1A0" w:rsidR="00EB54C4" w:rsidRPr="006862F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70" w:history="1">
        <w:r w:rsidR="00A80FA1">
          <w:rPr>
            <w:rStyle w:val="Hyperlink"/>
            <w:rFonts w:ascii="Arial" w:hAnsi="Arial" w:cs="Arial"/>
            <w:noProof/>
          </w:rPr>
          <w:t>4</w:t>
        </w:r>
        <w:r w:rsidR="00EB54C4" w:rsidRPr="006862FE">
          <w:rPr>
            <w:rStyle w:val="Hyperlink"/>
            <w:rFonts w:ascii="Arial" w:hAnsi="Arial" w:cs="Arial"/>
            <w:noProof/>
          </w:rPr>
          <w:t>.4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Recording i</w:t>
        </w:r>
        <w:r w:rsidR="00EB54C4" w:rsidRPr="006862FE">
          <w:rPr>
            <w:rStyle w:val="Hyperlink"/>
            <w:rFonts w:ascii="Arial" w:hAnsi="Arial" w:cs="Arial"/>
            <w:noProof/>
          </w:rPr>
          <w:t>nformation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6</w:t>
        </w:r>
      </w:hyperlink>
    </w:p>
    <w:p w14:paraId="796B6724" w14:textId="58F73F53" w:rsidR="00EB54C4" w:rsidRPr="006862FE" w:rsidRDefault="00000000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499911271" w:history="1">
        <w:r w:rsidR="00A80FA1">
          <w:rPr>
            <w:rStyle w:val="Hyperlink"/>
            <w:rFonts w:ascii="Arial" w:hAnsi="Arial" w:cs="Arial"/>
            <w:noProof/>
          </w:rPr>
          <w:t>5</w:t>
        </w:r>
        <w:r w:rsidR="00EB54C4" w:rsidRPr="006862FE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caps w:val="0"/>
            <w:noProof/>
          </w:rPr>
          <w:t>Summary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7</w:t>
        </w:r>
      </w:hyperlink>
    </w:p>
    <w:p w14:paraId="5D360308" w14:textId="440A9FD4" w:rsidR="00D85E4D" w:rsidRPr="006862FE" w:rsidRDefault="00D85E4D" w:rsidP="000858D5">
      <w:pPr>
        <w:rPr>
          <w:rFonts w:ascii="Arial" w:hAnsi="Arial" w:cs="Arial"/>
          <w:sz w:val="20"/>
          <w:szCs w:val="28"/>
        </w:rPr>
      </w:pPr>
      <w:r w:rsidRPr="006862FE">
        <w:rPr>
          <w:rFonts w:ascii="Arial" w:hAnsi="Arial" w:cs="Arial"/>
          <w:sz w:val="20"/>
          <w:szCs w:val="28"/>
        </w:rPr>
        <w:fldChar w:fldCharType="end"/>
      </w:r>
    </w:p>
    <w:p w14:paraId="319E469B" w14:textId="77777777" w:rsidR="00D85E4D" w:rsidRDefault="00D85E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C1F4396" w14:textId="77777777" w:rsidR="000858D5" w:rsidRPr="000858D5" w:rsidRDefault="000858D5" w:rsidP="000858D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0" w:name="_Toc499911240"/>
      <w:r>
        <w:rPr>
          <w:sz w:val="28"/>
          <w:szCs w:val="28"/>
        </w:rPr>
        <w:lastRenderedPageBreak/>
        <w:t>Introduction</w:t>
      </w:r>
      <w:bookmarkEnd w:id="0"/>
    </w:p>
    <w:p w14:paraId="4C3C3D66" w14:textId="2AA74A09" w:rsidR="00044905" w:rsidRPr="00D05574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495852825"/>
      <w:bookmarkStart w:id="2" w:name="_Toc499911241"/>
      <w:r w:rsidRPr="00D05574">
        <w:rPr>
          <w:rFonts w:ascii="Arial" w:hAnsi="Arial" w:cs="Arial"/>
          <w:smallCaps w:val="0"/>
          <w:sz w:val="24"/>
          <w:szCs w:val="24"/>
        </w:rPr>
        <w:t>P</w:t>
      </w:r>
      <w:r w:rsidR="00044905" w:rsidRPr="00D05574">
        <w:rPr>
          <w:rFonts w:ascii="Arial" w:hAnsi="Arial" w:cs="Arial"/>
          <w:smallCaps w:val="0"/>
          <w:sz w:val="24"/>
          <w:szCs w:val="24"/>
        </w:rPr>
        <w:t>olicy statement</w:t>
      </w:r>
      <w:bookmarkEnd w:id="1"/>
      <w:bookmarkEnd w:id="2"/>
    </w:p>
    <w:p w14:paraId="3E0C3F15" w14:textId="77777777" w:rsidR="00044905" w:rsidRPr="001A01D7" w:rsidRDefault="00044905" w:rsidP="00044905">
      <w:pPr>
        <w:rPr>
          <w:lang w:val="en-US"/>
        </w:rPr>
      </w:pPr>
    </w:p>
    <w:p w14:paraId="41D36C5B" w14:textId="3B269AB9" w:rsidR="005B058D" w:rsidRDefault="001E25BC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Rough hay Surgery</w:t>
      </w:r>
      <w:r w:rsidR="004E647A">
        <w:rPr>
          <w:rFonts w:ascii="Arial" w:hAnsi="Arial" w:cs="Arial"/>
          <w:lang w:val="en-US"/>
        </w:rPr>
        <w:t xml:space="preserve"> conforms to the primary medical care standard operating principles in ensuring </w:t>
      </w:r>
      <w:r w:rsidR="000C2196">
        <w:rPr>
          <w:rFonts w:ascii="Arial" w:hAnsi="Arial" w:cs="Arial"/>
          <w:lang w:val="en-US"/>
        </w:rPr>
        <w:t xml:space="preserve">that </w:t>
      </w:r>
      <w:r w:rsidR="00C414B0">
        <w:rPr>
          <w:rFonts w:ascii="Arial" w:hAnsi="Arial" w:cs="Arial"/>
          <w:lang w:val="en-US"/>
        </w:rPr>
        <w:t>there</w:t>
      </w:r>
      <w:r w:rsidR="004E647A">
        <w:rPr>
          <w:rFonts w:ascii="Arial" w:hAnsi="Arial" w:cs="Arial"/>
          <w:lang w:val="en-US"/>
        </w:rPr>
        <w:t xml:space="preserve"> is equitable access</w:t>
      </w:r>
      <w:r w:rsidR="00C414B0">
        <w:rPr>
          <w:rFonts w:ascii="Arial" w:hAnsi="Arial" w:cs="Arial"/>
          <w:lang w:val="en-US"/>
        </w:rPr>
        <w:t xml:space="preserve"> for all patients who wish to register themselves as a patient at the practice. </w:t>
      </w:r>
      <w:r w:rsidR="005B058D">
        <w:rPr>
          <w:rFonts w:ascii="Arial" w:hAnsi="Arial" w:cs="Arial"/>
          <w:lang w:val="en-US"/>
        </w:rPr>
        <w:t>In conjunction with this, new registrants will be invited to attend a new patient health check appointment within one month of joining the practice.</w:t>
      </w:r>
    </w:p>
    <w:p w14:paraId="3BD84264" w14:textId="77777777" w:rsidR="005B058D" w:rsidRDefault="005B058D" w:rsidP="00044905">
      <w:pPr>
        <w:rPr>
          <w:rFonts w:ascii="Arial" w:hAnsi="Arial" w:cs="Arial"/>
          <w:lang w:val="en-US"/>
        </w:rPr>
      </w:pPr>
    </w:p>
    <w:p w14:paraId="349D4B4D" w14:textId="7B29E887" w:rsidR="00044905" w:rsidRPr="00D05574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495852826"/>
      <w:bookmarkStart w:id="4" w:name="_Toc499911242"/>
      <w:r w:rsidRPr="00D05574">
        <w:rPr>
          <w:rFonts w:ascii="Arial" w:hAnsi="Arial" w:cs="Arial"/>
          <w:smallCaps w:val="0"/>
          <w:sz w:val="24"/>
          <w:szCs w:val="24"/>
        </w:rPr>
        <w:t>P</w:t>
      </w:r>
      <w:r w:rsidR="00044905" w:rsidRPr="00D05574">
        <w:rPr>
          <w:rFonts w:ascii="Arial" w:hAnsi="Arial" w:cs="Arial"/>
          <w:smallCaps w:val="0"/>
          <w:sz w:val="24"/>
          <w:szCs w:val="24"/>
        </w:rPr>
        <w:t>rinciples</w:t>
      </w:r>
      <w:bookmarkEnd w:id="3"/>
      <w:bookmarkEnd w:id="4"/>
    </w:p>
    <w:p w14:paraId="115E86CB" w14:textId="77777777" w:rsidR="00044905" w:rsidRPr="00665D94" w:rsidRDefault="00044905" w:rsidP="00044905">
      <w:pPr>
        <w:rPr>
          <w:rFonts w:ascii="Arial" w:hAnsi="Arial" w:cs="Arial"/>
          <w:lang w:val="en-US"/>
        </w:rPr>
      </w:pPr>
    </w:p>
    <w:p w14:paraId="7265C799" w14:textId="1013D1BD" w:rsidR="00044905" w:rsidRDefault="009E44EC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It is a contractual requirement that once registered all patients must be invited to parti</w:t>
      </w:r>
      <w:r w:rsidR="000C2196">
        <w:rPr>
          <w:rFonts w:ascii="Arial" w:hAnsi="Arial" w:cs="Arial"/>
          <w:lang w:val="en-US"/>
        </w:rPr>
        <w:t xml:space="preserve">cipate in a new patient check. </w:t>
      </w:r>
      <w:r>
        <w:rPr>
          <w:rFonts w:ascii="Arial" w:hAnsi="Arial" w:cs="Arial"/>
          <w:lang w:val="en-US"/>
        </w:rPr>
        <w:t>However, neither registration nor clinical appointments should be delayed because of the unavailability of a new patient check appointment.</w:t>
      </w:r>
      <w:r>
        <w:rPr>
          <w:rStyle w:val="FootnoteReference"/>
          <w:rFonts w:ascii="Arial" w:hAnsi="Arial" w:cs="Arial"/>
          <w:lang w:val="en-US"/>
        </w:rPr>
        <w:footnoteReference w:id="1"/>
      </w:r>
    </w:p>
    <w:p w14:paraId="38954DCF" w14:textId="77777777" w:rsidR="003E668B" w:rsidRDefault="003E668B" w:rsidP="00044905">
      <w:pPr>
        <w:rPr>
          <w:rFonts w:ascii="Arial" w:hAnsi="Arial" w:cs="Arial"/>
          <w:lang w:val="en-US"/>
        </w:rPr>
      </w:pPr>
    </w:p>
    <w:p w14:paraId="030917FC" w14:textId="6F4CABCF" w:rsidR="00044905" w:rsidRPr="00965FEA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" w:name="_Toc495852828"/>
      <w:bookmarkStart w:id="6" w:name="_Toc499911243"/>
      <w:r w:rsidRPr="00965FEA">
        <w:rPr>
          <w:rFonts w:ascii="Arial" w:hAnsi="Arial" w:cs="Arial"/>
          <w:smallCaps w:val="0"/>
          <w:sz w:val="24"/>
          <w:szCs w:val="24"/>
        </w:rPr>
        <w:t>S</w:t>
      </w:r>
      <w:r w:rsidR="00044905" w:rsidRPr="00965FEA">
        <w:rPr>
          <w:rFonts w:ascii="Arial" w:hAnsi="Arial" w:cs="Arial"/>
          <w:smallCaps w:val="0"/>
          <w:sz w:val="24"/>
          <w:szCs w:val="24"/>
        </w:rPr>
        <w:t>tatus</w:t>
      </w:r>
      <w:bookmarkEnd w:id="5"/>
      <w:bookmarkEnd w:id="6"/>
    </w:p>
    <w:p w14:paraId="0EE9D9AB" w14:textId="77777777" w:rsidR="00044905" w:rsidRPr="00E53611" w:rsidRDefault="00044905" w:rsidP="00044905">
      <w:pPr>
        <w:rPr>
          <w:rFonts w:cstheme="minorHAnsi"/>
          <w:lang w:val="en-US"/>
        </w:rPr>
      </w:pPr>
    </w:p>
    <w:p w14:paraId="3C5034AA" w14:textId="44A604DD" w:rsidR="00044905" w:rsidRPr="00E53611" w:rsidRDefault="00965FEA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</w:t>
      </w:r>
      <w:r w:rsidR="00044905">
        <w:rPr>
          <w:rFonts w:ascii="Arial" w:hAnsi="Arial" w:cs="Arial"/>
          <w:lang w:val="en-US"/>
        </w:rPr>
        <w:t>ractice aims to design and implement policies and procedures that meet the diverse needs of our service and workforce, ensuring that none are placed at a disadvantage over others, in accordance with the Equality Act</w:t>
      </w:r>
      <w:r w:rsidR="00F454D3">
        <w:rPr>
          <w:rFonts w:ascii="Arial" w:hAnsi="Arial" w:cs="Arial"/>
          <w:lang w:val="en-US"/>
        </w:rPr>
        <w:t xml:space="preserve"> 2010. </w:t>
      </w:r>
      <w:r w:rsidR="00044905">
        <w:rPr>
          <w:rFonts w:ascii="Arial" w:hAnsi="Arial" w:cs="Arial"/>
          <w:lang w:val="en-US"/>
        </w:rPr>
        <w:t>Consideration has been given to the impact t</w:t>
      </w:r>
      <w:r w:rsidR="00F454D3">
        <w:rPr>
          <w:rFonts w:ascii="Arial" w:hAnsi="Arial" w:cs="Arial"/>
          <w:lang w:val="en-US"/>
        </w:rPr>
        <w:t xml:space="preserve">his policy might have </w:t>
      </w:r>
      <w:proofErr w:type="gramStart"/>
      <w:r w:rsidR="00F454D3">
        <w:rPr>
          <w:rFonts w:ascii="Arial" w:hAnsi="Arial" w:cs="Arial"/>
          <w:lang w:val="en-US"/>
        </w:rPr>
        <w:t>in regard</w:t>
      </w:r>
      <w:r w:rsidR="00044905">
        <w:rPr>
          <w:rFonts w:ascii="Arial" w:hAnsi="Arial" w:cs="Arial"/>
          <w:lang w:val="en-US"/>
        </w:rPr>
        <w:t xml:space="preserve"> to</w:t>
      </w:r>
      <w:proofErr w:type="gramEnd"/>
      <w:r w:rsidR="00044905">
        <w:rPr>
          <w:rFonts w:ascii="Arial" w:hAnsi="Arial" w:cs="Arial"/>
          <w:lang w:val="en-US"/>
        </w:rPr>
        <w:t xml:space="preserve"> the individual protected characteristics of those to whom it applies.</w:t>
      </w:r>
    </w:p>
    <w:p w14:paraId="361BB5DA" w14:textId="1E75E1EA" w:rsidR="00BE3256" w:rsidRDefault="00BE3256" w:rsidP="00044905">
      <w:pPr>
        <w:rPr>
          <w:rFonts w:ascii="Arial" w:hAnsi="Arial" w:cs="Arial"/>
          <w:lang w:val="en-US"/>
        </w:rPr>
      </w:pPr>
    </w:p>
    <w:p w14:paraId="16FFFBBF" w14:textId="535F0A83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7" w:name="_Toc495852829"/>
      <w:bookmarkStart w:id="8" w:name="_Toc499911244"/>
      <w:r w:rsidRPr="00F454D3">
        <w:rPr>
          <w:rFonts w:ascii="Arial" w:hAnsi="Arial" w:cs="Arial"/>
          <w:smallCaps w:val="0"/>
          <w:sz w:val="24"/>
          <w:szCs w:val="24"/>
        </w:rPr>
        <w:t>T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raining and support</w:t>
      </w:r>
      <w:bookmarkEnd w:id="7"/>
      <w:bookmarkEnd w:id="8"/>
    </w:p>
    <w:p w14:paraId="75698322" w14:textId="77777777" w:rsidR="00044905" w:rsidRDefault="00044905" w:rsidP="00044905">
      <w:pPr>
        <w:rPr>
          <w:lang w:val="en-US"/>
        </w:rPr>
      </w:pPr>
    </w:p>
    <w:p w14:paraId="6BD8AAC2" w14:textId="06383A64" w:rsidR="00044905" w:rsidRPr="00E5412E" w:rsidRDefault="00F454D3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</w:t>
      </w:r>
      <w:r w:rsidR="00044905" w:rsidRPr="00E5412E">
        <w:rPr>
          <w:rFonts w:ascii="Arial" w:hAnsi="Arial" w:cs="Arial"/>
          <w:lang w:val="en-US"/>
        </w:rPr>
        <w:t>ractice will provide guidance and support to help those to whom it applies understand their rights and responsibilities unde</w:t>
      </w:r>
      <w:r>
        <w:rPr>
          <w:rFonts w:ascii="Arial" w:hAnsi="Arial" w:cs="Arial"/>
          <w:lang w:val="en-US"/>
        </w:rPr>
        <w:t xml:space="preserve">r this policy. </w:t>
      </w:r>
      <w:r w:rsidR="00044905" w:rsidRPr="00E5412E">
        <w:rPr>
          <w:rFonts w:ascii="Arial" w:hAnsi="Arial" w:cs="Arial"/>
          <w:lang w:val="en-US"/>
        </w:rPr>
        <w:t>Additional support will be provided to managers and supervisors to enable them to deal more effectively with matters arising from this policy.</w:t>
      </w:r>
    </w:p>
    <w:p w14:paraId="721BB49B" w14:textId="77777777" w:rsidR="00044905" w:rsidRPr="000858D5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9" w:name="_Toc495852830"/>
      <w:bookmarkStart w:id="10" w:name="_Toc499911245"/>
      <w:r>
        <w:rPr>
          <w:sz w:val="28"/>
          <w:szCs w:val="28"/>
        </w:rPr>
        <w:t>Scope</w:t>
      </w:r>
      <w:bookmarkEnd w:id="9"/>
      <w:bookmarkEnd w:id="10"/>
    </w:p>
    <w:p w14:paraId="2BECA050" w14:textId="3D67D3C6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1" w:name="_Toc495852831"/>
      <w:bookmarkStart w:id="12" w:name="_Toc499911246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ho it applies to</w:t>
      </w:r>
      <w:bookmarkEnd w:id="11"/>
      <w:bookmarkEnd w:id="12"/>
    </w:p>
    <w:p w14:paraId="2FCED63C" w14:textId="77777777" w:rsidR="00044905" w:rsidRPr="00F454D3" w:rsidRDefault="00044905" w:rsidP="00044905">
      <w:pPr>
        <w:rPr>
          <w:sz w:val="24"/>
          <w:szCs w:val="24"/>
          <w:lang w:val="en-US"/>
        </w:rPr>
      </w:pPr>
    </w:p>
    <w:p w14:paraId="2CFD85FA" w14:textId="7296766A" w:rsidR="00044905" w:rsidRPr="00665D94" w:rsidRDefault="00044905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document applies to all </w:t>
      </w:r>
      <w:r w:rsidRPr="00665D94">
        <w:rPr>
          <w:rFonts w:ascii="Arial" w:hAnsi="Arial" w:cs="Arial"/>
          <w:lang w:val="en-US"/>
        </w:rPr>
        <w:t>employees</w:t>
      </w:r>
      <w:r w:rsidR="00F454D3">
        <w:rPr>
          <w:rFonts w:ascii="Arial" w:hAnsi="Arial" w:cs="Arial"/>
          <w:lang w:val="en-US"/>
        </w:rPr>
        <w:t>, p</w:t>
      </w:r>
      <w:r>
        <w:rPr>
          <w:rFonts w:ascii="Arial" w:hAnsi="Arial" w:cs="Arial"/>
          <w:lang w:val="en-US"/>
        </w:rPr>
        <w:t xml:space="preserve">artners </w:t>
      </w:r>
      <w:r w:rsidRPr="00665D94">
        <w:rPr>
          <w:rFonts w:ascii="Arial" w:hAnsi="Arial" w:cs="Arial"/>
          <w:lang w:val="en-US"/>
        </w:rPr>
        <w:t xml:space="preserve">and directors of the </w:t>
      </w:r>
      <w:r w:rsidR="00F454D3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ractice</w:t>
      </w:r>
      <w:r w:rsidRPr="00665D94">
        <w:rPr>
          <w:rFonts w:ascii="Arial" w:hAnsi="Arial" w:cs="Arial"/>
          <w:lang w:val="en-US"/>
        </w:rPr>
        <w:t xml:space="preserve">. Other individuals performing functions in relation to the </w:t>
      </w:r>
      <w:r w:rsidR="00F454D3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ractice</w:t>
      </w:r>
      <w:r w:rsidRPr="00665D94">
        <w:rPr>
          <w:rFonts w:ascii="Arial" w:hAnsi="Arial" w:cs="Arial"/>
          <w:lang w:val="en-US"/>
        </w:rPr>
        <w:t>, such as agency worker</w:t>
      </w:r>
      <w:r>
        <w:rPr>
          <w:rFonts w:ascii="Arial" w:hAnsi="Arial" w:cs="Arial"/>
          <w:lang w:val="en-US"/>
        </w:rPr>
        <w:t xml:space="preserve">s, locums </w:t>
      </w:r>
      <w:r w:rsidRPr="00665D94">
        <w:rPr>
          <w:rFonts w:ascii="Arial" w:hAnsi="Arial" w:cs="Arial"/>
          <w:lang w:val="en-US"/>
        </w:rPr>
        <w:t>and contractors, are encouraged to use it.</w:t>
      </w:r>
    </w:p>
    <w:p w14:paraId="15099AEB" w14:textId="5AFB4BDB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3" w:name="_Toc495852832"/>
      <w:bookmarkStart w:id="14" w:name="_Toc499911247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 xml:space="preserve">hy and how it applies to </w:t>
      </w:r>
      <w:bookmarkEnd w:id="13"/>
      <w:bookmarkEnd w:id="14"/>
      <w:r w:rsidR="000C2196">
        <w:rPr>
          <w:rFonts w:ascii="Arial" w:hAnsi="Arial" w:cs="Arial"/>
          <w:smallCaps w:val="0"/>
          <w:sz w:val="24"/>
          <w:szCs w:val="24"/>
        </w:rPr>
        <w:t>them</w:t>
      </w:r>
    </w:p>
    <w:p w14:paraId="2C88EDB5" w14:textId="77777777" w:rsidR="00044905" w:rsidRDefault="00044905" w:rsidP="00044905">
      <w:pPr>
        <w:rPr>
          <w:rFonts w:ascii="Arial" w:hAnsi="Arial" w:cs="Arial"/>
          <w:lang w:val="en-US"/>
        </w:rPr>
      </w:pPr>
    </w:p>
    <w:p w14:paraId="1C140568" w14:textId="3282DDC8" w:rsidR="00044905" w:rsidRDefault="00B22E1E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  <w:r w:rsidR="005B058D">
        <w:rPr>
          <w:rFonts w:ascii="Arial" w:hAnsi="Arial" w:cs="Arial"/>
          <w:lang w:val="en-US"/>
        </w:rPr>
        <w:t xml:space="preserve"> new patient </w:t>
      </w:r>
      <w:r w:rsidR="000C2196">
        <w:rPr>
          <w:rFonts w:ascii="Arial" w:hAnsi="Arial" w:cs="Arial"/>
          <w:lang w:val="en-US"/>
        </w:rPr>
        <w:t xml:space="preserve">health check </w:t>
      </w:r>
      <w:r w:rsidR="005B058D">
        <w:rPr>
          <w:rFonts w:ascii="Arial" w:hAnsi="Arial" w:cs="Arial"/>
          <w:lang w:val="en-US"/>
        </w:rPr>
        <w:t>and</w:t>
      </w:r>
      <w:r>
        <w:rPr>
          <w:rFonts w:ascii="Arial" w:hAnsi="Arial" w:cs="Arial"/>
          <w:lang w:val="en-US"/>
        </w:rPr>
        <w:t xml:space="preserve"> NHS Health Check</w:t>
      </w:r>
      <w:r w:rsidR="005B058D">
        <w:rPr>
          <w:rFonts w:ascii="Arial" w:hAnsi="Arial" w:cs="Arial"/>
          <w:lang w:val="en-US"/>
        </w:rPr>
        <w:t xml:space="preserve"> are</w:t>
      </w:r>
      <w:r>
        <w:rPr>
          <w:rFonts w:ascii="Arial" w:hAnsi="Arial" w:cs="Arial"/>
          <w:lang w:val="en-US"/>
        </w:rPr>
        <w:t xml:space="preserve"> associated with the Quality</w:t>
      </w:r>
      <w:r w:rsidR="000C2196">
        <w:rPr>
          <w:rFonts w:ascii="Arial" w:hAnsi="Arial" w:cs="Arial"/>
          <w:lang w:val="en-US"/>
        </w:rPr>
        <w:t xml:space="preserve"> and Outcomes Framework (QOF). </w:t>
      </w:r>
      <w:r>
        <w:rPr>
          <w:rFonts w:ascii="Arial" w:hAnsi="Arial" w:cs="Arial"/>
          <w:lang w:val="en-US"/>
        </w:rPr>
        <w:t xml:space="preserve">If </w:t>
      </w:r>
      <w:proofErr w:type="gramStart"/>
      <w:r>
        <w:rPr>
          <w:rFonts w:ascii="Arial" w:hAnsi="Arial" w:cs="Arial"/>
          <w:lang w:val="en-US"/>
        </w:rPr>
        <w:t>a number of</w:t>
      </w:r>
      <w:proofErr w:type="gramEnd"/>
      <w:r>
        <w:rPr>
          <w:rFonts w:ascii="Arial" w:hAnsi="Arial" w:cs="Arial"/>
          <w:lang w:val="en-US"/>
        </w:rPr>
        <w:t xml:space="preserve"> assessment and management </w:t>
      </w:r>
      <w:r>
        <w:rPr>
          <w:rFonts w:ascii="Arial" w:hAnsi="Arial" w:cs="Arial"/>
          <w:lang w:val="en-US"/>
        </w:rPr>
        <w:lastRenderedPageBreak/>
        <w:t xml:space="preserve">indicators are achieved, </w:t>
      </w:r>
      <w:r w:rsidR="001E25BC">
        <w:rPr>
          <w:rFonts w:ascii="Arial" w:hAnsi="Arial" w:cs="Arial"/>
          <w:lang w:val="en-US"/>
        </w:rPr>
        <w:t>Rough Hay Surgery</w:t>
      </w:r>
      <w:r>
        <w:rPr>
          <w:rFonts w:ascii="Arial" w:hAnsi="Arial" w:cs="Arial"/>
          <w:lang w:val="en-US"/>
        </w:rPr>
        <w:t xml:space="preserve"> will be rewarded for the provision of quality care.</w:t>
      </w:r>
    </w:p>
    <w:p w14:paraId="472039A7" w14:textId="77777777" w:rsidR="00044905" w:rsidRPr="00665D94" w:rsidRDefault="00044905" w:rsidP="00044905">
      <w:pPr>
        <w:rPr>
          <w:rFonts w:ascii="Arial" w:hAnsi="Arial" w:cs="Arial"/>
          <w:lang w:val="en-US"/>
        </w:rPr>
      </w:pPr>
    </w:p>
    <w:p w14:paraId="73DFCD0C" w14:textId="65C8306D" w:rsidR="00B22E1E" w:rsidRDefault="00CD4001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Furthermore, t</w:t>
      </w:r>
      <w:r w:rsidR="00B22E1E">
        <w:rPr>
          <w:rFonts w:ascii="Arial" w:hAnsi="Arial" w:cs="Arial"/>
          <w:lang w:val="en-US"/>
        </w:rPr>
        <w:t>here is a legal duty</w:t>
      </w:r>
      <w:r w:rsidR="00ED6D03">
        <w:rPr>
          <w:rStyle w:val="FootnoteReference"/>
          <w:rFonts w:ascii="Arial" w:hAnsi="Arial" w:cs="Arial"/>
          <w:lang w:val="en-US"/>
        </w:rPr>
        <w:footnoteReference w:id="2"/>
      </w:r>
      <w:r w:rsidR="00B22E1E">
        <w:rPr>
          <w:rFonts w:ascii="Arial" w:hAnsi="Arial" w:cs="Arial"/>
          <w:lang w:val="en-US"/>
        </w:rPr>
        <w:t xml:space="preserve"> for the provision of the following:</w:t>
      </w:r>
    </w:p>
    <w:p w14:paraId="47911171" w14:textId="77777777" w:rsidR="00B22E1E" w:rsidRDefault="00B22E1E" w:rsidP="00044905">
      <w:pPr>
        <w:rPr>
          <w:rFonts w:ascii="Arial" w:hAnsi="Arial" w:cs="Arial"/>
          <w:lang w:val="en-US"/>
        </w:rPr>
      </w:pPr>
    </w:p>
    <w:p w14:paraId="3A509176" w14:textId="1D470A6D" w:rsidR="00044905" w:rsidRDefault="00B45587" w:rsidP="00B22E1E">
      <w:pPr>
        <w:pStyle w:val="ListParagraph"/>
        <w:numPr>
          <w:ilvl w:val="0"/>
          <w:numId w:val="2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ED6D03">
        <w:rPr>
          <w:rFonts w:ascii="Arial" w:hAnsi="Arial" w:cs="Arial"/>
          <w:lang w:val="en-US"/>
        </w:rPr>
        <w:t xml:space="preserve">ll </w:t>
      </w:r>
      <w:r w:rsidR="00B22E1E">
        <w:rPr>
          <w:rFonts w:ascii="Arial" w:hAnsi="Arial" w:cs="Arial"/>
          <w:lang w:val="en-US"/>
        </w:rPr>
        <w:t xml:space="preserve">eligible patients aged 40-74 </w:t>
      </w:r>
      <w:r>
        <w:rPr>
          <w:rFonts w:ascii="Arial" w:hAnsi="Arial" w:cs="Arial"/>
          <w:lang w:val="en-US"/>
        </w:rPr>
        <w:t xml:space="preserve">are </w:t>
      </w:r>
      <w:r w:rsidR="00B22E1E">
        <w:rPr>
          <w:rFonts w:ascii="Arial" w:hAnsi="Arial" w:cs="Arial"/>
          <w:lang w:val="en-US"/>
        </w:rPr>
        <w:t>to be offered an NHS Health Check once every five years</w:t>
      </w:r>
    </w:p>
    <w:p w14:paraId="55D2DE4E" w14:textId="1378D318" w:rsidR="00B22E1E" w:rsidRDefault="00B45587" w:rsidP="00B22E1E">
      <w:pPr>
        <w:pStyle w:val="ListParagraph"/>
        <w:numPr>
          <w:ilvl w:val="0"/>
          <w:numId w:val="2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B22E1E">
        <w:rPr>
          <w:rFonts w:ascii="Arial" w:hAnsi="Arial" w:cs="Arial"/>
          <w:lang w:val="en-US"/>
        </w:rPr>
        <w:t>he check will include specific tests and measurements</w:t>
      </w:r>
    </w:p>
    <w:p w14:paraId="1E76AA6B" w14:textId="1F2E2A70" w:rsidR="00B22E1E" w:rsidRDefault="00B45587" w:rsidP="00B22E1E">
      <w:pPr>
        <w:pStyle w:val="ListParagraph"/>
        <w:numPr>
          <w:ilvl w:val="0"/>
          <w:numId w:val="2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ED6D03">
        <w:rPr>
          <w:rFonts w:ascii="Arial" w:hAnsi="Arial" w:cs="Arial"/>
          <w:lang w:val="en-US"/>
        </w:rPr>
        <w:t>nsuring</w:t>
      </w:r>
      <w:r w:rsidR="00B22E1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that </w:t>
      </w:r>
      <w:r w:rsidR="00B22E1E">
        <w:rPr>
          <w:rFonts w:ascii="Arial" w:hAnsi="Arial" w:cs="Arial"/>
          <w:lang w:val="en-US"/>
        </w:rPr>
        <w:t>patients are advised of their cardiovascular risk score, as well as other results, in a manner which they understand</w:t>
      </w:r>
    </w:p>
    <w:p w14:paraId="03B95DD3" w14:textId="3C74D74A" w:rsidR="00B22E1E" w:rsidRDefault="00B45587" w:rsidP="00B22E1E">
      <w:pPr>
        <w:pStyle w:val="ListParagraph"/>
        <w:numPr>
          <w:ilvl w:val="0"/>
          <w:numId w:val="2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ED6D03">
        <w:rPr>
          <w:rFonts w:ascii="Arial" w:hAnsi="Arial" w:cs="Arial"/>
          <w:lang w:val="en-US"/>
        </w:rPr>
        <w:t xml:space="preserve">he recording of specific data in </w:t>
      </w:r>
      <w:r w:rsidR="003870E1">
        <w:rPr>
          <w:rFonts w:ascii="Arial" w:hAnsi="Arial" w:cs="Arial"/>
          <w:lang w:val="en-US"/>
        </w:rPr>
        <w:t>the</w:t>
      </w:r>
      <w:r w:rsidR="00ED6D03">
        <w:rPr>
          <w:rFonts w:ascii="Arial" w:hAnsi="Arial" w:cs="Arial"/>
          <w:lang w:val="en-US"/>
        </w:rPr>
        <w:t xml:space="preserve"> </w:t>
      </w:r>
      <w:r w:rsidR="003870E1">
        <w:rPr>
          <w:rFonts w:ascii="Arial" w:hAnsi="Arial" w:cs="Arial"/>
          <w:lang w:val="en-US"/>
        </w:rPr>
        <w:t>patient</w:t>
      </w:r>
      <w:r w:rsidR="00E06B7E">
        <w:rPr>
          <w:rFonts w:ascii="Arial" w:hAnsi="Arial" w:cs="Arial"/>
          <w:lang w:val="en-US"/>
        </w:rPr>
        <w:t>’</w:t>
      </w:r>
      <w:r w:rsidR="00ED6D03">
        <w:rPr>
          <w:rFonts w:ascii="Arial" w:hAnsi="Arial" w:cs="Arial"/>
          <w:lang w:val="en-US"/>
        </w:rPr>
        <w:t>s healthcare record</w:t>
      </w:r>
    </w:p>
    <w:p w14:paraId="29DF4120" w14:textId="77777777" w:rsidR="005B058D" w:rsidRDefault="005B058D" w:rsidP="005B058D">
      <w:pPr>
        <w:rPr>
          <w:rFonts w:ascii="Arial" w:hAnsi="Arial" w:cs="Arial"/>
          <w:lang w:val="en-US"/>
        </w:rPr>
      </w:pPr>
    </w:p>
    <w:p w14:paraId="57D30271" w14:textId="4FBC2C32" w:rsidR="005B058D" w:rsidRPr="000858D5" w:rsidRDefault="00B45587" w:rsidP="005B058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5" w:name="_Toc499911248"/>
      <w:r>
        <w:rPr>
          <w:sz w:val="28"/>
          <w:szCs w:val="28"/>
        </w:rPr>
        <w:t>Patient r</w:t>
      </w:r>
      <w:r w:rsidR="005B058D">
        <w:rPr>
          <w:sz w:val="28"/>
          <w:szCs w:val="28"/>
        </w:rPr>
        <w:t>egistration</w:t>
      </w:r>
      <w:bookmarkEnd w:id="15"/>
    </w:p>
    <w:p w14:paraId="7F9D4DB8" w14:textId="08A787EF" w:rsidR="005B058D" w:rsidRDefault="00B45587" w:rsidP="005B058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6" w:name="_Toc499911249"/>
      <w:r>
        <w:rPr>
          <w:rFonts w:ascii="Arial" w:hAnsi="Arial" w:cs="Arial"/>
          <w:smallCaps w:val="0"/>
          <w:sz w:val="24"/>
          <w:szCs w:val="24"/>
        </w:rPr>
        <w:t>Legislative c</w:t>
      </w:r>
      <w:r w:rsidR="001A7A41">
        <w:rPr>
          <w:rFonts w:ascii="Arial" w:hAnsi="Arial" w:cs="Arial"/>
          <w:smallCaps w:val="0"/>
          <w:sz w:val="24"/>
          <w:szCs w:val="24"/>
        </w:rPr>
        <w:t>ompliance</w:t>
      </w:r>
      <w:bookmarkEnd w:id="16"/>
    </w:p>
    <w:p w14:paraId="4346A8CF" w14:textId="77777777" w:rsidR="001A7A41" w:rsidRDefault="001A7A41" w:rsidP="001A7A41">
      <w:pPr>
        <w:rPr>
          <w:lang w:val="en-US"/>
        </w:rPr>
      </w:pPr>
    </w:p>
    <w:p w14:paraId="4EB77D8A" w14:textId="7BBD4015" w:rsidR="001A7A41" w:rsidRDefault="001E25BC" w:rsidP="001A7A4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Rough Hay Surgery</w:t>
      </w:r>
      <w:r w:rsidR="001A7A41" w:rsidRPr="001A7A41">
        <w:rPr>
          <w:rFonts w:ascii="Arial" w:hAnsi="Arial" w:cs="Arial"/>
          <w:lang w:val="en-US"/>
        </w:rPr>
        <w:t xml:space="preserve"> </w:t>
      </w:r>
      <w:r w:rsidR="001A7A41">
        <w:rPr>
          <w:rFonts w:ascii="Arial" w:hAnsi="Arial" w:cs="Arial"/>
          <w:lang w:val="en-US"/>
        </w:rPr>
        <w:t>w</w:t>
      </w:r>
      <w:r w:rsidR="00B45587">
        <w:rPr>
          <w:rFonts w:ascii="Arial" w:hAnsi="Arial" w:cs="Arial"/>
          <w:lang w:val="en-US"/>
        </w:rPr>
        <w:t>ill adhere to the terms of its</w:t>
      </w:r>
      <w:r w:rsidR="001A7A41">
        <w:rPr>
          <w:rFonts w:ascii="Arial" w:hAnsi="Arial" w:cs="Arial"/>
          <w:lang w:val="en-US"/>
        </w:rPr>
        <w:t xml:space="preserve"> </w:t>
      </w:r>
      <w:r w:rsidR="00B45587">
        <w:rPr>
          <w:rFonts w:ascii="Arial" w:hAnsi="Arial" w:cs="Arial"/>
          <w:lang w:val="en-US"/>
        </w:rPr>
        <w:t>contract and not refuse patients’</w:t>
      </w:r>
      <w:r w:rsidR="001A7A41">
        <w:rPr>
          <w:rFonts w:ascii="Arial" w:hAnsi="Arial" w:cs="Arial"/>
          <w:lang w:val="en-US"/>
        </w:rPr>
        <w:t xml:space="preserve"> applications to join the practice on the following grounds:</w:t>
      </w:r>
    </w:p>
    <w:p w14:paraId="7C310AAE" w14:textId="77777777" w:rsidR="001A7A41" w:rsidRDefault="001A7A41" w:rsidP="001A7A41">
      <w:pPr>
        <w:rPr>
          <w:rFonts w:ascii="Arial" w:hAnsi="Arial" w:cs="Arial"/>
          <w:lang w:val="en-US"/>
        </w:rPr>
      </w:pPr>
    </w:p>
    <w:p w14:paraId="7350E640" w14:textId="39E1AC8A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1A7A41">
        <w:rPr>
          <w:rFonts w:ascii="Arial" w:hAnsi="Arial" w:cs="Arial"/>
          <w:lang w:val="en-US"/>
        </w:rPr>
        <w:t>ace</w:t>
      </w:r>
    </w:p>
    <w:p w14:paraId="22F461B7" w14:textId="5228FE0B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</w:t>
      </w:r>
      <w:r w:rsidR="001A7A41">
        <w:rPr>
          <w:rFonts w:ascii="Arial" w:hAnsi="Arial" w:cs="Arial"/>
          <w:lang w:val="en-US"/>
        </w:rPr>
        <w:t>ender</w:t>
      </w:r>
    </w:p>
    <w:p w14:paraId="3B3D8BDD" w14:textId="5E67EFC2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="001A7A41">
        <w:rPr>
          <w:rFonts w:ascii="Arial" w:hAnsi="Arial" w:cs="Arial"/>
          <w:lang w:val="en-US"/>
        </w:rPr>
        <w:t>ocial class</w:t>
      </w:r>
    </w:p>
    <w:p w14:paraId="7304D522" w14:textId="5F1B9014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1A7A41">
        <w:rPr>
          <w:rFonts w:ascii="Arial" w:hAnsi="Arial" w:cs="Arial"/>
          <w:lang w:val="en-US"/>
        </w:rPr>
        <w:t>ge</w:t>
      </w:r>
    </w:p>
    <w:p w14:paraId="6AFDB228" w14:textId="41DFACC1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1A7A41">
        <w:rPr>
          <w:rFonts w:ascii="Arial" w:hAnsi="Arial" w:cs="Arial"/>
          <w:lang w:val="en-US"/>
        </w:rPr>
        <w:t>eligion</w:t>
      </w:r>
    </w:p>
    <w:p w14:paraId="5B4D496C" w14:textId="5ADFC331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="001A7A41">
        <w:rPr>
          <w:rFonts w:ascii="Arial" w:hAnsi="Arial" w:cs="Arial"/>
          <w:lang w:val="en-US"/>
        </w:rPr>
        <w:t>exual orientation</w:t>
      </w:r>
    </w:p>
    <w:p w14:paraId="7D6AB3B2" w14:textId="7B9EBF48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1A7A41">
        <w:rPr>
          <w:rFonts w:ascii="Arial" w:hAnsi="Arial" w:cs="Arial"/>
          <w:lang w:val="en-US"/>
        </w:rPr>
        <w:t>ppearance</w:t>
      </w:r>
    </w:p>
    <w:p w14:paraId="26669055" w14:textId="3ADB5CC7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="001A7A41">
        <w:rPr>
          <w:rFonts w:ascii="Arial" w:hAnsi="Arial" w:cs="Arial"/>
          <w:lang w:val="en-US"/>
        </w:rPr>
        <w:t xml:space="preserve">isability </w:t>
      </w:r>
    </w:p>
    <w:p w14:paraId="0D4A2CA2" w14:textId="1BAF089F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</w:t>
      </w:r>
      <w:r w:rsidR="001A7A41">
        <w:rPr>
          <w:rFonts w:ascii="Arial" w:hAnsi="Arial" w:cs="Arial"/>
          <w:lang w:val="en-US"/>
        </w:rPr>
        <w:t>edical conditions</w:t>
      </w:r>
    </w:p>
    <w:p w14:paraId="6A0CD160" w14:textId="43747374" w:rsidR="00A80FA1" w:rsidRDefault="00A80FA1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Prison record</w:t>
      </w:r>
      <w:r w:rsidR="00433942">
        <w:rPr>
          <w:rFonts w:ascii="Arial" w:hAnsi="Arial" w:cs="Arial"/>
          <w:lang w:val="en-US"/>
        </w:rPr>
        <w:t xml:space="preserve"> (patients are able to register prior to their release from prison)</w:t>
      </w:r>
    </w:p>
    <w:p w14:paraId="08C9442B" w14:textId="672E0A8B" w:rsidR="00A80FA1" w:rsidRDefault="00A80FA1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Homeless</w:t>
      </w:r>
      <w:r w:rsidR="00433942">
        <w:rPr>
          <w:rFonts w:ascii="Arial" w:hAnsi="Arial" w:cs="Arial"/>
          <w:lang w:val="en-US"/>
        </w:rPr>
        <w:t xml:space="preserve"> (No requirement for fixed address)</w:t>
      </w:r>
    </w:p>
    <w:p w14:paraId="12C6501D" w14:textId="0945C8A4" w:rsidR="001A7A41" w:rsidRDefault="00B45587" w:rsidP="001A7A41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7" w:name="_Toc499911250"/>
      <w:r>
        <w:rPr>
          <w:rFonts w:ascii="Arial" w:hAnsi="Arial" w:cs="Arial"/>
          <w:smallCaps w:val="0"/>
          <w:sz w:val="24"/>
          <w:szCs w:val="24"/>
        </w:rPr>
        <w:t>Declining a</w:t>
      </w:r>
      <w:r w:rsidR="001A7A41">
        <w:rPr>
          <w:rFonts w:ascii="Arial" w:hAnsi="Arial" w:cs="Arial"/>
          <w:smallCaps w:val="0"/>
          <w:sz w:val="24"/>
          <w:szCs w:val="24"/>
        </w:rPr>
        <w:t>pplications</w:t>
      </w:r>
      <w:bookmarkEnd w:id="17"/>
    </w:p>
    <w:p w14:paraId="4D58A172" w14:textId="77777777" w:rsidR="001A7A41" w:rsidRDefault="001A7A41" w:rsidP="001A7A41">
      <w:pPr>
        <w:rPr>
          <w:lang w:val="en-US"/>
        </w:rPr>
      </w:pPr>
    </w:p>
    <w:p w14:paraId="2E00B581" w14:textId="62D32DE3" w:rsidR="001A7A41" w:rsidRDefault="001A7A41" w:rsidP="001A7A4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practice is</w:t>
      </w:r>
      <w:r w:rsidR="00B45587">
        <w:rPr>
          <w:rFonts w:ascii="Arial" w:hAnsi="Arial" w:cs="Arial"/>
          <w:lang w:val="en-US"/>
        </w:rPr>
        <w:t>,</w:t>
      </w:r>
      <w:r w:rsidR="00191E4C">
        <w:rPr>
          <w:rFonts w:ascii="Arial" w:hAnsi="Arial" w:cs="Arial"/>
          <w:lang w:val="en-US"/>
        </w:rPr>
        <w:t xml:space="preserve"> however</w:t>
      </w:r>
      <w:r>
        <w:rPr>
          <w:rFonts w:ascii="Arial" w:hAnsi="Arial" w:cs="Arial"/>
          <w:lang w:val="en-US"/>
        </w:rPr>
        <w:t xml:space="preserve"> permitted to decline a patient’s application to join the practice if:</w:t>
      </w:r>
    </w:p>
    <w:p w14:paraId="6C3FDB8B" w14:textId="77777777" w:rsidR="001A7A41" w:rsidRDefault="001A7A41" w:rsidP="001A7A41">
      <w:pPr>
        <w:rPr>
          <w:rFonts w:ascii="Arial" w:hAnsi="Arial" w:cs="Arial"/>
          <w:lang w:val="en-US"/>
        </w:rPr>
      </w:pPr>
    </w:p>
    <w:p w14:paraId="034E60B1" w14:textId="17720D01" w:rsidR="001A7A41" w:rsidRDefault="001A7A41" w:rsidP="001A7A41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commissioner is in agreement that the practice list may be closed to new patients</w:t>
      </w:r>
    </w:p>
    <w:p w14:paraId="534F72EF" w14:textId="5A9438BA" w:rsidR="00A80FA1" w:rsidRDefault="00A80FA1" w:rsidP="00A80FA1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Is</w:t>
      </w:r>
      <w:proofErr w:type="gramEnd"/>
      <w:r>
        <w:rPr>
          <w:rFonts w:ascii="Arial" w:hAnsi="Arial" w:cs="Arial"/>
          <w:lang w:val="en-US"/>
        </w:rPr>
        <w:t xml:space="preserve"> named on the violent patients register and has been allocated an alternative GP by the CCG.</w:t>
      </w:r>
    </w:p>
    <w:p w14:paraId="03511A8E" w14:textId="3B5BE1AB" w:rsidR="00191E4C" w:rsidRDefault="00191E4C" w:rsidP="00A80FA1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Outside of the catchment area. (see section 3.3)</w:t>
      </w:r>
    </w:p>
    <w:p w14:paraId="62E99708" w14:textId="77777777" w:rsidR="00A47272" w:rsidRDefault="00A47272" w:rsidP="00A47272">
      <w:pPr>
        <w:rPr>
          <w:rFonts w:ascii="Arial" w:hAnsi="Arial" w:cs="Arial"/>
          <w:lang w:val="en-US"/>
        </w:rPr>
      </w:pPr>
    </w:p>
    <w:p w14:paraId="7BA728CD" w14:textId="4ECC0C99" w:rsidR="00A47272" w:rsidRDefault="00A47272" w:rsidP="00A4727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Any refusals will be confirmed in writing to the patient, with the reas</w:t>
      </w:r>
      <w:r w:rsidR="00E622D5">
        <w:rPr>
          <w:rFonts w:ascii="Arial" w:hAnsi="Arial" w:cs="Arial"/>
          <w:lang w:val="en-US"/>
        </w:rPr>
        <w:t xml:space="preserve">ons fully stated, within 14 days of the refusal. </w:t>
      </w:r>
      <w:r>
        <w:rPr>
          <w:rFonts w:ascii="Arial" w:hAnsi="Arial" w:cs="Arial"/>
          <w:lang w:val="en-US"/>
        </w:rPr>
        <w:t>The date and reason for refusal will be recorded along with the name of the patient and this information will be made available to commissioners if requested.</w:t>
      </w:r>
    </w:p>
    <w:p w14:paraId="4B86FC65" w14:textId="77777777" w:rsidR="00A47272" w:rsidRDefault="00A47272" w:rsidP="00A47272">
      <w:pPr>
        <w:rPr>
          <w:rFonts w:ascii="Arial" w:hAnsi="Arial" w:cs="Arial"/>
          <w:lang w:val="en-US"/>
        </w:rPr>
      </w:pPr>
    </w:p>
    <w:p w14:paraId="7208FEF4" w14:textId="7E6A575B" w:rsidR="00A47272" w:rsidRPr="00A47272" w:rsidRDefault="00E622D5" w:rsidP="00A4727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Patients will not be refused i</w:t>
      </w:r>
      <w:r w:rsidR="00A47272">
        <w:rPr>
          <w:rFonts w:ascii="Arial" w:hAnsi="Arial" w:cs="Arial"/>
          <w:lang w:val="en-US"/>
        </w:rPr>
        <w:t>f they are</w:t>
      </w:r>
      <w:r w:rsidR="00E22435">
        <w:rPr>
          <w:rFonts w:ascii="Arial" w:hAnsi="Arial" w:cs="Arial"/>
          <w:lang w:val="en-US"/>
        </w:rPr>
        <w:t xml:space="preserve"> registered with another local </w:t>
      </w:r>
      <w:r w:rsidR="00433942">
        <w:rPr>
          <w:rFonts w:ascii="Arial" w:hAnsi="Arial" w:cs="Arial"/>
          <w:lang w:val="en-US"/>
        </w:rPr>
        <w:t>practice or if they are unable to provide ID or confirmation of an address.</w:t>
      </w:r>
      <w:r w:rsidR="00A47272">
        <w:rPr>
          <w:rFonts w:ascii="Arial" w:hAnsi="Arial" w:cs="Arial"/>
          <w:lang w:val="en-US"/>
        </w:rPr>
        <w:t xml:space="preserve"> </w:t>
      </w:r>
    </w:p>
    <w:p w14:paraId="24CC69BA" w14:textId="285C39C6" w:rsidR="001A7A41" w:rsidRDefault="00E622D5" w:rsidP="001A7A41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8" w:name="_Toc499911251"/>
      <w:r>
        <w:rPr>
          <w:rFonts w:ascii="Arial" w:hAnsi="Arial" w:cs="Arial"/>
          <w:smallCaps w:val="0"/>
          <w:sz w:val="24"/>
          <w:szCs w:val="24"/>
        </w:rPr>
        <w:t>Practice a</w:t>
      </w:r>
      <w:r w:rsidR="001A7A41">
        <w:rPr>
          <w:rFonts w:ascii="Arial" w:hAnsi="Arial" w:cs="Arial"/>
          <w:smallCaps w:val="0"/>
          <w:sz w:val="24"/>
          <w:szCs w:val="24"/>
        </w:rPr>
        <w:t>rea</w:t>
      </w:r>
      <w:bookmarkEnd w:id="18"/>
    </w:p>
    <w:p w14:paraId="294D14B9" w14:textId="77777777" w:rsidR="001A7A41" w:rsidRDefault="001A7A41" w:rsidP="001A7A41">
      <w:pPr>
        <w:rPr>
          <w:lang w:val="en-US"/>
        </w:rPr>
      </w:pPr>
    </w:p>
    <w:p w14:paraId="3E686A3B" w14:textId="773C98A8" w:rsidR="001A7A41" w:rsidRDefault="001E25BC" w:rsidP="001A7A4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Rough Hay Surgery</w:t>
      </w:r>
      <w:r w:rsidR="001A7A41">
        <w:rPr>
          <w:rFonts w:ascii="Arial" w:hAnsi="Arial" w:cs="Arial"/>
          <w:lang w:val="en-US"/>
        </w:rPr>
        <w:t xml:space="preserve"> may register new patients who reside outside</w:t>
      </w:r>
      <w:r w:rsidR="00E622D5">
        <w:rPr>
          <w:rFonts w:ascii="Arial" w:hAnsi="Arial" w:cs="Arial"/>
          <w:lang w:val="en-US"/>
        </w:rPr>
        <w:t xml:space="preserve"> </w:t>
      </w:r>
      <w:r w:rsidR="001A7A41">
        <w:rPr>
          <w:rFonts w:ascii="Arial" w:hAnsi="Arial" w:cs="Arial"/>
          <w:lang w:val="en-US"/>
        </w:rPr>
        <w:t xml:space="preserve">the practice area </w:t>
      </w:r>
      <w:r w:rsidR="004674C5">
        <w:rPr>
          <w:rFonts w:ascii="Arial" w:hAnsi="Arial" w:cs="Arial"/>
          <w:lang w:val="en-US"/>
        </w:rPr>
        <w:t xml:space="preserve">if it is clinically appropriate to do so and the </w:t>
      </w:r>
      <w:r w:rsidR="001A7A41">
        <w:rPr>
          <w:rFonts w:ascii="Arial" w:hAnsi="Arial" w:cs="Arial"/>
          <w:lang w:val="en-US"/>
        </w:rPr>
        <w:t>patient is a</w:t>
      </w:r>
      <w:r w:rsidR="004674C5">
        <w:rPr>
          <w:rFonts w:ascii="Arial" w:hAnsi="Arial" w:cs="Arial"/>
          <w:lang w:val="en-US"/>
        </w:rPr>
        <w:t>dvised</w:t>
      </w:r>
      <w:r w:rsidR="001A7A41">
        <w:rPr>
          <w:rFonts w:ascii="Arial" w:hAnsi="Arial" w:cs="Arial"/>
          <w:lang w:val="en-US"/>
        </w:rPr>
        <w:t xml:space="preserve"> that the practice is not obliged to undertake home visits</w:t>
      </w:r>
      <w:r w:rsidR="00FE082F">
        <w:rPr>
          <w:rFonts w:ascii="Arial" w:hAnsi="Arial" w:cs="Arial"/>
          <w:lang w:val="en-US"/>
        </w:rPr>
        <w:t xml:space="preserve"> or provide immediately necessary treatment when the patient is at home.</w:t>
      </w:r>
      <w:r w:rsidR="00FE082F">
        <w:rPr>
          <w:rStyle w:val="FootnoteReference"/>
          <w:rFonts w:ascii="Arial" w:hAnsi="Arial" w:cs="Arial"/>
          <w:lang w:val="en-US"/>
        </w:rPr>
        <w:footnoteReference w:id="3"/>
      </w:r>
    </w:p>
    <w:p w14:paraId="7867F126" w14:textId="77777777" w:rsidR="005629E0" w:rsidRDefault="005629E0" w:rsidP="001A7A41">
      <w:pPr>
        <w:rPr>
          <w:rFonts w:ascii="Arial" w:hAnsi="Arial" w:cs="Arial"/>
          <w:lang w:val="en-US"/>
        </w:rPr>
      </w:pPr>
    </w:p>
    <w:p w14:paraId="4C2F0279" w14:textId="7DC55F27" w:rsidR="005629E0" w:rsidRDefault="005629E0" w:rsidP="001A7A4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Patients </w:t>
      </w:r>
      <w:r w:rsidR="00E622D5">
        <w:rPr>
          <w:rFonts w:ascii="Arial" w:hAnsi="Arial" w:cs="Arial"/>
          <w:lang w:val="en-US"/>
        </w:rPr>
        <w:t xml:space="preserve">outside </w:t>
      </w:r>
      <w:r w:rsidR="00E83075">
        <w:rPr>
          <w:rFonts w:ascii="Arial" w:hAnsi="Arial" w:cs="Arial"/>
          <w:lang w:val="en-US"/>
        </w:rPr>
        <w:t xml:space="preserve">the practice area </w:t>
      </w:r>
      <w:r>
        <w:rPr>
          <w:rFonts w:ascii="Arial" w:hAnsi="Arial" w:cs="Arial"/>
          <w:lang w:val="en-US"/>
        </w:rPr>
        <w:t>may wish to register with the practice for a number of reasons:</w:t>
      </w:r>
    </w:p>
    <w:p w14:paraId="427EA8C2" w14:textId="77777777" w:rsidR="005629E0" w:rsidRDefault="005629E0" w:rsidP="001A7A41">
      <w:pPr>
        <w:rPr>
          <w:rFonts w:ascii="Arial" w:hAnsi="Arial" w:cs="Arial"/>
          <w:lang w:val="en-US"/>
        </w:rPr>
      </w:pPr>
    </w:p>
    <w:p w14:paraId="42E0ED12" w14:textId="67030974" w:rsidR="005629E0" w:rsidRDefault="005629E0" w:rsidP="005629E0">
      <w:pPr>
        <w:pStyle w:val="ListParagraph"/>
        <w:numPr>
          <w:ilvl w:val="0"/>
          <w:numId w:val="2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Closeness – it is closer to the patient</w:t>
      </w:r>
      <w:r w:rsidR="00E622D5">
        <w:rPr>
          <w:rFonts w:ascii="Arial" w:hAnsi="Arial" w:cs="Arial"/>
          <w:lang w:val="en-US"/>
        </w:rPr>
        <w:t xml:space="preserve">’s place of work or </w:t>
      </w:r>
      <w:proofErr w:type="spellStart"/>
      <w:r w:rsidR="00E622D5">
        <w:rPr>
          <w:rFonts w:ascii="Arial" w:hAnsi="Arial" w:cs="Arial"/>
          <w:lang w:val="en-US"/>
        </w:rPr>
        <w:t>dependa</w:t>
      </w:r>
      <w:r>
        <w:rPr>
          <w:rFonts w:ascii="Arial" w:hAnsi="Arial" w:cs="Arial"/>
          <w:lang w:val="en-US"/>
        </w:rPr>
        <w:t>nts</w:t>
      </w:r>
      <w:r w:rsidR="00E622D5">
        <w:rPr>
          <w:rFonts w:ascii="Arial" w:hAnsi="Arial" w:cs="Arial"/>
          <w:lang w:val="en-US"/>
        </w:rPr>
        <w:t>’</w:t>
      </w:r>
      <w:proofErr w:type="spellEnd"/>
      <w:r>
        <w:rPr>
          <w:rFonts w:ascii="Arial" w:hAnsi="Arial" w:cs="Arial"/>
          <w:lang w:val="en-US"/>
        </w:rPr>
        <w:t xml:space="preserve"> school</w:t>
      </w:r>
    </w:p>
    <w:p w14:paraId="42CF8333" w14:textId="7A8E9A61" w:rsidR="005629E0" w:rsidRDefault="005629E0" w:rsidP="005629E0">
      <w:pPr>
        <w:pStyle w:val="ListParagraph"/>
        <w:numPr>
          <w:ilvl w:val="0"/>
          <w:numId w:val="2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Residence – </w:t>
      </w:r>
      <w:r w:rsidR="00E622D5">
        <w:rPr>
          <w:rFonts w:ascii="Arial" w:hAnsi="Arial" w:cs="Arial"/>
          <w:lang w:val="en-US"/>
        </w:rPr>
        <w:t xml:space="preserve">they </w:t>
      </w:r>
      <w:r>
        <w:rPr>
          <w:rFonts w:ascii="Arial" w:hAnsi="Arial" w:cs="Arial"/>
          <w:lang w:val="en-US"/>
        </w:rPr>
        <w:t>reside in the area during the week, but their permanent home address is in another area</w:t>
      </w:r>
    </w:p>
    <w:p w14:paraId="7CCB4CBB" w14:textId="38BC5320" w:rsidR="005629E0" w:rsidRDefault="00E83075" w:rsidP="005629E0">
      <w:pPr>
        <w:pStyle w:val="ListParagraph"/>
        <w:numPr>
          <w:ilvl w:val="0"/>
          <w:numId w:val="2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Moved to a new house</w:t>
      </w:r>
      <w:r w:rsidR="005629E0">
        <w:rPr>
          <w:rFonts w:ascii="Arial" w:hAnsi="Arial" w:cs="Arial"/>
          <w:lang w:val="en-US"/>
        </w:rPr>
        <w:t xml:space="preserve"> – but do not want to change GP</w:t>
      </w:r>
    </w:p>
    <w:p w14:paraId="7103519B" w14:textId="3716FB24" w:rsidR="005629E0" w:rsidRPr="005629E0" w:rsidRDefault="00E83075" w:rsidP="005629E0">
      <w:pPr>
        <w:pStyle w:val="ListParagraph"/>
        <w:numPr>
          <w:ilvl w:val="0"/>
          <w:numId w:val="2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Choice – access and services are better</w:t>
      </w:r>
    </w:p>
    <w:p w14:paraId="45C4AA77" w14:textId="77777777" w:rsidR="001A7A41" w:rsidRPr="001A7A41" w:rsidRDefault="001A7A41" w:rsidP="001A7A41">
      <w:pPr>
        <w:rPr>
          <w:lang w:val="en-US"/>
        </w:rPr>
      </w:pPr>
    </w:p>
    <w:p w14:paraId="71BE6826" w14:textId="75E8574A" w:rsidR="005B058D" w:rsidRDefault="005629E0" w:rsidP="005B05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practice is to</w:t>
      </w:r>
      <w:r w:rsidR="00E83075">
        <w:rPr>
          <w:rFonts w:ascii="Arial" w:hAnsi="Arial" w:cs="Arial"/>
          <w:lang w:val="en-US"/>
        </w:rPr>
        <w:t xml:space="preserve"> provide this group of</w:t>
      </w:r>
      <w:r>
        <w:rPr>
          <w:rFonts w:ascii="Arial" w:hAnsi="Arial" w:cs="Arial"/>
          <w:lang w:val="en-US"/>
        </w:rPr>
        <w:t xml:space="preserve"> patient</w:t>
      </w:r>
      <w:r w:rsidR="00E83075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with information on who to contact when they have an illness or injury at home which prevents them from attending this pract</w:t>
      </w:r>
      <w:r w:rsidR="00E622D5">
        <w:rPr>
          <w:rFonts w:ascii="Arial" w:hAnsi="Arial" w:cs="Arial"/>
          <w:lang w:val="en-US"/>
        </w:rPr>
        <w:t xml:space="preserve">ice. </w:t>
      </w:r>
      <w:r>
        <w:rPr>
          <w:rFonts w:ascii="Arial" w:hAnsi="Arial" w:cs="Arial"/>
          <w:lang w:val="en-US"/>
        </w:rPr>
        <w:t>The templates p</w:t>
      </w:r>
      <w:r w:rsidR="006E08CE">
        <w:rPr>
          <w:rFonts w:ascii="Arial" w:hAnsi="Arial" w:cs="Arial"/>
          <w:lang w:val="en-US"/>
        </w:rPr>
        <w:t>rovided in the reference materia</w:t>
      </w:r>
      <w:r>
        <w:rPr>
          <w:rFonts w:ascii="Arial" w:hAnsi="Arial" w:cs="Arial"/>
          <w:lang w:val="en-US"/>
        </w:rPr>
        <w:t xml:space="preserve">l at footnote four are to be used. </w:t>
      </w:r>
    </w:p>
    <w:p w14:paraId="51BA5EC1" w14:textId="77777777" w:rsidR="0097036D" w:rsidRDefault="0097036D" w:rsidP="005B058D">
      <w:pPr>
        <w:rPr>
          <w:rFonts w:ascii="Arial" w:hAnsi="Arial" w:cs="Arial"/>
          <w:lang w:val="en-US"/>
        </w:rPr>
      </w:pPr>
    </w:p>
    <w:p w14:paraId="79A727BB" w14:textId="76FD1F5D" w:rsidR="00E83075" w:rsidRDefault="006E08CE" w:rsidP="00E8307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9" w:name="_Toc499911252"/>
      <w:r>
        <w:rPr>
          <w:rFonts w:ascii="Arial" w:hAnsi="Arial" w:cs="Arial"/>
          <w:smallCaps w:val="0"/>
          <w:sz w:val="24"/>
          <w:szCs w:val="24"/>
        </w:rPr>
        <w:t>Registering the p</w:t>
      </w:r>
      <w:r w:rsidR="00E83075">
        <w:rPr>
          <w:rFonts w:ascii="Arial" w:hAnsi="Arial" w:cs="Arial"/>
          <w:smallCaps w:val="0"/>
          <w:sz w:val="24"/>
          <w:szCs w:val="24"/>
        </w:rPr>
        <w:t>atient</w:t>
      </w:r>
      <w:bookmarkEnd w:id="19"/>
    </w:p>
    <w:p w14:paraId="63777A99" w14:textId="77777777" w:rsidR="00E83075" w:rsidRDefault="00E83075" w:rsidP="005B058D">
      <w:pPr>
        <w:rPr>
          <w:rFonts w:ascii="Arial" w:hAnsi="Arial" w:cs="Arial"/>
          <w:lang w:val="en-US"/>
        </w:rPr>
      </w:pPr>
    </w:p>
    <w:p w14:paraId="6C56294F" w14:textId="0A39428A" w:rsidR="00E83075" w:rsidRDefault="00E83075" w:rsidP="005B05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new patients will be required to complete a new patient registration form </w:t>
      </w:r>
      <w:r w:rsidR="0024704E">
        <w:rPr>
          <w:rFonts w:ascii="Arial" w:hAnsi="Arial" w:cs="Arial"/>
          <w:lang w:val="en-US"/>
        </w:rPr>
        <w:t>which includes</w:t>
      </w:r>
      <w:r>
        <w:rPr>
          <w:rFonts w:ascii="Arial" w:hAnsi="Arial" w:cs="Arial"/>
          <w:lang w:val="en-US"/>
        </w:rPr>
        <w:t xml:space="preserve"> a new patient health questionnaire and a </w:t>
      </w:r>
      <w:hyperlink r:id="rId8" w:history="1">
        <w:r w:rsidRPr="0024704E">
          <w:rPr>
            <w:rStyle w:val="Hyperlink"/>
            <w:rFonts w:ascii="Arial" w:hAnsi="Arial" w:cs="Arial"/>
            <w:lang w:val="en-US"/>
          </w:rPr>
          <w:t>GMS1 form</w:t>
        </w:r>
      </w:hyperlink>
      <w:r>
        <w:rPr>
          <w:rFonts w:ascii="Arial" w:hAnsi="Arial" w:cs="Arial"/>
          <w:lang w:val="en-US"/>
        </w:rPr>
        <w:t>, all of which are available from reception or can be downloaded from the practice website</w:t>
      </w:r>
      <w:r w:rsidR="0031325B">
        <w:rPr>
          <w:rFonts w:ascii="Arial" w:hAnsi="Arial" w:cs="Arial"/>
          <w:lang w:val="en-US"/>
        </w:rPr>
        <w:t>.</w:t>
      </w:r>
    </w:p>
    <w:p w14:paraId="2292ECDC" w14:textId="77777777" w:rsidR="0031325B" w:rsidRDefault="0031325B" w:rsidP="005B058D">
      <w:pPr>
        <w:rPr>
          <w:rFonts w:ascii="Arial" w:hAnsi="Arial" w:cs="Arial"/>
          <w:lang w:val="en-US"/>
        </w:rPr>
      </w:pPr>
    </w:p>
    <w:p w14:paraId="761F2988" w14:textId="619F0C4F" w:rsidR="0031325B" w:rsidRDefault="0031325B" w:rsidP="005B05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Completed forms are to be passed to </w:t>
      </w:r>
      <w:r w:rsidR="001E25BC">
        <w:rPr>
          <w:rFonts w:ascii="Arial" w:hAnsi="Arial" w:cs="Arial"/>
          <w:lang w:val="en-US"/>
        </w:rPr>
        <w:t>Reception staff</w:t>
      </w:r>
      <w:r>
        <w:rPr>
          <w:rFonts w:ascii="Arial" w:hAnsi="Arial" w:cs="Arial"/>
          <w:lang w:val="en-US"/>
        </w:rPr>
        <w:t xml:space="preserve"> who will carry out the necessary administrative action and facilitate the transfer of the patient</w:t>
      </w:r>
      <w:r w:rsidR="00CD7147"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records using GP2GP.</w:t>
      </w:r>
    </w:p>
    <w:p w14:paraId="573EA0B7" w14:textId="21367FF3" w:rsidR="00A17072" w:rsidRDefault="002F157E" w:rsidP="00A17072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0" w:name="_Toc499911253"/>
      <w:r>
        <w:rPr>
          <w:rFonts w:ascii="Arial" w:hAnsi="Arial" w:cs="Arial"/>
          <w:smallCaps w:val="0"/>
          <w:sz w:val="24"/>
          <w:szCs w:val="24"/>
        </w:rPr>
        <w:t>Registering c</w:t>
      </w:r>
      <w:r w:rsidR="00A17072">
        <w:rPr>
          <w:rFonts w:ascii="Arial" w:hAnsi="Arial" w:cs="Arial"/>
          <w:smallCaps w:val="0"/>
          <w:sz w:val="24"/>
          <w:szCs w:val="24"/>
        </w:rPr>
        <w:t>hildren</w:t>
      </w:r>
      <w:bookmarkEnd w:id="20"/>
    </w:p>
    <w:p w14:paraId="11B1AF36" w14:textId="77777777" w:rsidR="00A17072" w:rsidRDefault="00A17072" w:rsidP="00A17072">
      <w:pPr>
        <w:rPr>
          <w:lang w:val="en-US"/>
        </w:rPr>
      </w:pPr>
    </w:p>
    <w:p w14:paraId="2C80E45D" w14:textId="354999E5" w:rsidR="00A17072" w:rsidRDefault="00A17072" w:rsidP="00A1707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a child under the age of 16 attempts to register alone</w:t>
      </w:r>
      <w:r w:rsidR="002F157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or with an adult who does not have parental responsibility for the child, the practice safegu</w:t>
      </w:r>
      <w:r w:rsidR="002F157E">
        <w:rPr>
          <w:rFonts w:ascii="Arial" w:hAnsi="Arial" w:cs="Arial"/>
          <w:lang w:val="en-US"/>
        </w:rPr>
        <w:t xml:space="preserve">arding lead is to be informed. </w:t>
      </w:r>
      <w:r>
        <w:rPr>
          <w:rFonts w:ascii="Arial" w:hAnsi="Arial" w:cs="Arial"/>
          <w:lang w:val="en-US"/>
        </w:rPr>
        <w:t>It is recommended that the practice gain</w:t>
      </w:r>
      <w:r w:rsidR="002F157E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assurance by:</w:t>
      </w:r>
    </w:p>
    <w:p w14:paraId="3D6D2331" w14:textId="77777777" w:rsidR="00A17072" w:rsidRDefault="00A17072" w:rsidP="00A17072">
      <w:pPr>
        <w:rPr>
          <w:rFonts w:ascii="Arial" w:hAnsi="Arial" w:cs="Arial"/>
          <w:lang w:val="en-US"/>
        </w:rPr>
      </w:pPr>
    </w:p>
    <w:p w14:paraId="5B5FAC37" w14:textId="6067FA96" w:rsidR="00A17072" w:rsidRDefault="00A17072" w:rsidP="00A17072">
      <w:pPr>
        <w:pStyle w:val="ListParagraph"/>
        <w:numPr>
          <w:ilvl w:val="0"/>
          <w:numId w:val="2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Obtaining proof of identify for each child (i.e. birth certificate)</w:t>
      </w:r>
    </w:p>
    <w:p w14:paraId="5D74AEEF" w14:textId="702A3528" w:rsidR="00A17072" w:rsidRDefault="00A17072" w:rsidP="00A17072">
      <w:pPr>
        <w:pStyle w:val="ListParagraph"/>
        <w:numPr>
          <w:ilvl w:val="0"/>
          <w:numId w:val="2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 adult with parental responsibility is present at registration (and can prove they have parental responsibility)</w:t>
      </w:r>
    </w:p>
    <w:p w14:paraId="1E463818" w14:textId="36DD34F7" w:rsidR="00A17072" w:rsidRDefault="00A17072" w:rsidP="00A17072">
      <w:pPr>
        <w:pStyle w:val="ListParagraph"/>
        <w:numPr>
          <w:ilvl w:val="0"/>
          <w:numId w:val="2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Offering the child a new patient health check</w:t>
      </w:r>
    </w:p>
    <w:p w14:paraId="70097BBF" w14:textId="63A1B7F0" w:rsidR="00A17072" w:rsidRDefault="00A17072" w:rsidP="00A17072">
      <w:pPr>
        <w:pStyle w:val="ListParagraph"/>
        <w:numPr>
          <w:ilvl w:val="0"/>
          <w:numId w:val="2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Obtaining supporting documentation from official sources</w:t>
      </w:r>
      <w:r w:rsidR="002F157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i.e. previous GP, social workers, etc.</w:t>
      </w:r>
    </w:p>
    <w:p w14:paraId="5F45B4D5" w14:textId="77777777" w:rsidR="00A17072" w:rsidRDefault="00A17072" w:rsidP="00A17072">
      <w:pPr>
        <w:rPr>
          <w:rFonts w:ascii="Arial" w:hAnsi="Arial" w:cs="Arial"/>
          <w:lang w:val="en-US"/>
        </w:rPr>
      </w:pPr>
    </w:p>
    <w:p w14:paraId="50BB81B5" w14:textId="4E1A528B" w:rsidR="005B058D" w:rsidRDefault="00A17072" w:rsidP="005B05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Where doubt exists</w:t>
      </w:r>
      <w:r w:rsidR="002F157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the practice safeguarding lead is to be informed and appropriate actions taken.</w:t>
      </w:r>
    </w:p>
    <w:p w14:paraId="1E53E7F5" w14:textId="04CA7162" w:rsidR="00A17072" w:rsidRDefault="002F157E" w:rsidP="00A17072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1" w:name="_Toc499911254"/>
      <w:r>
        <w:rPr>
          <w:rFonts w:ascii="Arial" w:hAnsi="Arial" w:cs="Arial"/>
          <w:smallCaps w:val="0"/>
          <w:sz w:val="24"/>
          <w:szCs w:val="24"/>
        </w:rPr>
        <w:lastRenderedPageBreak/>
        <w:t>Registering v</w:t>
      </w:r>
      <w:r w:rsidR="00A17072">
        <w:rPr>
          <w:rFonts w:ascii="Arial" w:hAnsi="Arial" w:cs="Arial"/>
          <w:smallCaps w:val="0"/>
          <w:sz w:val="24"/>
          <w:szCs w:val="24"/>
        </w:rPr>
        <w:t>eterans</w:t>
      </w:r>
      <w:bookmarkEnd w:id="21"/>
    </w:p>
    <w:p w14:paraId="13F65AA7" w14:textId="77777777" w:rsidR="00A17072" w:rsidRDefault="00A17072" w:rsidP="00A17072">
      <w:pPr>
        <w:rPr>
          <w:lang w:val="en-US"/>
        </w:rPr>
      </w:pPr>
    </w:p>
    <w:p w14:paraId="6D00786E" w14:textId="228F8554" w:rsidR="00A17072" w:rsidRDefault="00A17072" w:rsidP="00A1707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responsibility for the provision of healthcare to Armed Forces personnel rests with </w:t>
      </w:r>
      <w:proofErr w:type="spellStart"/>
      <w:r>
        <w:rPr>
          <w:rFonts w:ascii="Arial" w:hAnsi="Arial" w:cs="Arial"/>
          <w:lang w:val="en-US"/>
        </w:rPr>
        <w:t>Defen</w:t>
      </w:r>
      <w:r w:rsidR="00AC226A">
        <w:rPr>
          <w:rFonts w:ascii="Arial" w:hAnsi="Arial" w:cs="Arial"/>
          <w:lang w:val="en-US"/>
        </w:rPr>
        <w:t>ce</w:t>
      </w:r>
      <w:proofErr w:type="spellEnd"/>
      <w:r w:rsidR="00AC226A">
        <w:rPr>
          <w:rFonts w:ascii="Arial" w:hAnsi="Arial" w:cs="Arial"/>
          <w:lang w:val="en-US"/>
        </w:rPr>
        <w:t xml:space="preserve"> Primary Health Care (DPHC). </w:t>
      </w:r>
      <w:r>
        <w:rPr>
          <w:rFonts w:ascii="Arial" w:hAnsi="Arial" w:cs="Arial"/>
          <w:lang w:val="en-US"/>
        </w:rPr>
        <w:t xml:space="preserve">When service personnel leave and become Armed Forces veterans, their primary healthcare becomes an NHS responsibility.  </w:t>
      </w:r>
    </w:p>
    <w:p w14:paraId="4421BFBC" w14:textId="77777777" w:rsidR="00A17072" w:rsidRDefault="00A17072" w:rsidP="00A17072">
      <w:pPr>
        <w:rPr>
          <w:rFonts w:ascii="Arial" w:hAnsi="Arial" w:cs="Arial"/>
          <w:lang w:val="en-US"/>
        </w:rPr>
      </w:pPr>
    </w:p>
    <w:p w14:paraId="5DC5781F" w14:textId="23F5693B" w:rsidR="00A17072" w:rsidRDefault="00AC226A" w:rsidP="00A1707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Veterans will be provided with </w:t>
      </w:r>
      <w:r w:rsidR="00A17072">
        <w:rPr>
          <w:rFonts w:ascii="Arial" w:hAnsi="Arial" w:cs="Arial"/>
          <w:lang w:val="en-US"/>
        </w:rPr>
        <w:t>copies of their medical records which they will give to their new practice during registration.</w:t>
      </w:r>
      <w:r>
        <w:rPr>
          <w:rFonts w:ascii="Arial" w:hAnsi="Arial" w:cs="Arial"/>
          <w:lang w:val="en-US"/>
        </w:rPr>
        <w:t xml:space="preserve"> </w:t>
      </w:r>
      <w:r w:rsidR="00E22435">
        <w:rPr>
          <w:rFonts w:ascii="Arial" w:hAnsi="Arial" w:cs="Arial"/>
          <w:lang w:val="en-US"/>
        </w:rPr>
        <w:t>Armed Forces veterans are entitled to priority treatment if the</w:t>
      </w:r>
      <w:r>
        <w:rPr>
          <w:rFonts w:ascii="Arial" w:hAnsi="Arial" w:cs="Arial"/>
          <w:lang w:val="en-US"/>
        </w:rPr>
        <w:t xml:space="preserve">ir injury or condition came about </w:t>
      </w:r>
      <w:proofErr w:type="gramStart"/>
      <w:r>
        <w:rPr>
          <w:rFonts w:ascii="Arial" w:hAnsi="Arial" w:cs="Arial"/>
          <w:lang w:val="en-US"/>
        </w:rPr>
        <w:t>as</w:t>
      </w:r>
      <w:r w:rsidR="00E22435">
        <w:rPr>
          <w:rFonts w:ascii="Arial" w:hAnsi="Arial" w:cs="Arial"/>
          <w:lang w:val="en-US"/>
        </w:rPr>
        <w:t xml:space="preserve"> a result of</w:t>
      </w:r>
      <w:proofErr w:type="gramEnd"/>
      <w:r w:rsidR="00E22435">
        <w:rPr>
          <w:rFonts w:ascii="Arial" w:hAnsi="Arial" w:cs="Arial"/>
          <w:lang w:val="en-US"/>
        </w:rPr>
        <w:t xml:space="preserve"> their </w:t>
      </w:r>
      <w:r>
        <w:rPr>
          <w:rFonts w:ascii="Arial" w:hAnsi="Arial" w:cs="Arial"/>
          <w:lang w:val="en-US"/>
        </w:rPr>
        <w:t xml:space="preserve">service. </w:t>
      </w:r>
      <w:r w:rsidR="00E22435">
        <w:rPr>
          <w:rFonts w:ascii="Arial" w:hAnsi="Arial" w:cs="Arial"/>
          <w:lang w:val="en-US"/>
        </w:rPr>
        <w:t xml:space="preserve">Further guidance can be found </w:t>
      </w:r>
      <w:hyperlink r:id="rId9" w:history="1">
        <w:r w:rsidR="00E22435" w:rsidRPr="00E22435">
          <w:rPr>
            <w:rStyle w:val="Hyperlink"/>
            <w:rFonts w:ascii="Arial" w:hAnsi="Arial" w:cs="Arial"/>
            <w:lang w:val="en-US"/>
          </w:rPr>
          <w:t>here</w:t>
        </w:r>
      </w:hyperlink>
      <w:r w:rsidR="00E22435">
        <w:rPr>
          <w:rFonts w:ascii="Arial" w:hAnsi="Arial" w:cs="Arial"/>
          <w:lang w:val="en-US"/>
        </w:rPr>
        <w:t>.</w:t>
      </w:r>
      <w:r w:rsidR="00A17072">
        <w:rPr>
          <w:rFonts w:ascii="Arial" w:hAnsi="Arial" w:cs="Arial"/>
          <w:lang w:val="en-US"/>
        </w:rPr>
        <w:t xml:space="preserve">  </w:t>
      </w:r>
    </w:p>
    <w:p w14:paraId="47E5E82F" w14:textId="2ADBD255" w:rsidR="00E22435" w:rsidRDefault="00AC226A" w:rsidP="00E2243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2" w:name="_Toc499911255"/>
      <w:r>
        <w:rPr>
          <w:rFonts w:ascii="Arial" w:hAnsi="Arial" w:cs="Arial"/>
          <w:smallCaps w:val="0"/>
          <w:sz w:val="24"/>
          <w:szCs w:val="24"/>
        </w:rPr>
        <w:t>Temporary r</w:t>
      </w:r>
      <w:r w:rsidR="00E22435">
        <w:rPr>
          <w:rFonts w:ascii="Arial" w:hAnsi="Arial" w:cs="Arial"/>
          <w:smallCaps w:val="0"/>
          <w:sz w:val="24"/>
          <w:szCs w:val="24"/>
        </w:rPr>
        <w:t>esidents</w:t>
      </w:r>
      <w:bookmarkEnd w:id="22"/>
    </w:p>
    <w:p w14:paraId="301ABB81" w14:textId="77777777" w:rsidR="00E22435" w:rsidRDefault="00E22435" w:rsidP="00E22435">
      <w:pPr>
        <w:rPr>
          <w:lang w:val="en-US"/>
        </w:rPr>
      </w:pPr>
    </w:p>
    <w:p w14:paraId="3BD610EB" w14:textId="5250633E" w:rsidR="00A17072" w:rsidRPr="005B058D" w:rsidRDefault="00E22435" w:rsidP="005B05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Temporary residents are entitled to the full range of services provided by this practice and are classified as patients who are in the local area for a period of more than 24 hours but no longer than three months.</w:t>
      </w:r>
    </w:p>
    <w:p w14:paraId="1FE7B7E6" w14:textId="58AC4177" w:rsidR="00E9196C" w:rsidRPr="000858D5" w:rsidRDefault="00D343CB" w:rsidP="00E9196C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23" w:name="_Toc499911266"/>
      <w:r>
        <w:rPr>
          <w:sz w:val="28"/>
          <w:szCs w:val="28"/>
        </w:rPr>
        <w:t>New patient h</w:t>
      </w:r>
      <w:r w:rsidR="00E9196C">
        <w:rPr>
          <w:sz w:val="28"/>
          <w:szCs w:val="28"/>
        </w:rPr>
        <w:t>e</w:t>
      </w:r>
      <w:r>
        <w:rPr>
          <w:sz w:val="28"/>
          <w:szCs w:val="28"/>
        </w:rPr>
        <w:t>alth c</w:t>
      </w:r>
      <w:r w:rsidR="00E9196C">
        <w:rPr>
          <w:sz w:val="28"/>
          <w:szCs w:val="28"/>
        </w:rPr>
        <w:t>heck</w:t>
      </w:r>
      <w:bookmarkEnd w:id="23"/>
    </w:p>
    <w:p w14:paraId="70B14F1D" w14:textId="551BF9E9" w:rsidR="00684F05" w:rsidRDefault="00684F05" w:rsidP="00684F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4" w:name="_Toc499911267"/>
      <w:r>
        <w:rPr>
          <w:rFonts w:ascii="Arial" w:hAnsi="Arial" w:cs="Arial"/>
          <w:smallCaps w:val="0"/>
          <w:sz w:val="24"/>
          <w:szCs w:val="24"/>
        </w:rPr>
        <w:t>Eligibility</w:t>
      </w:r>
      <w:bookmarkEnd w:id="24"/>
    </w:p>
    <w:p w14:paraId="1A635B46" w14:textId="77777777" w:rsidR="00684F05" w:rsidRDefault="00684F05" w:rsidP="000F35E7">
      <w:pPr>
        <w:rPr>
          <w:rFonts w:ascii="Arial" w:hAnsi="Arial" w:cs="Arial"/>
          <w:lang w:val="en-US"/>
        </w:rPr>
      </w:pPr>
    </w:p>
    <w:p w14:paraId="38EE0FFA" w14:textId="2F0651BA" w:rsidR="00E9196C" w:rsidRDefault="00684F05" w:rsidP="000F35E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patients registering at </w:t>
      </w:r>
      <w:r w:rsidR="0097036D">
        <w:rPr>
          <w:rFonts w:ascii="Arial" w:hAnsi="Arial" w:cs="Arial"/>
          <w:lang w:val="en-US"/>
        </w:rPr>
        <w:t>Rough Hay Surgery</w:t>
      </w:r>
      <w:r>
        <w:rPr>
          <w:rFonts w:ascii="Arial" w:hAnsi="Arial" w:cs="Arial"/>
          <w:lang w:val="en-US"/>
        </w:rPr>
        <w:t xml:space="preserve"> will be invited to attend an appointment for a new patient health check with the </w:t>
      </w:r>
      <w:r w:rsidR="0097036D">
        <w:rPr>
          <w:rFonts w:ascii="Arial" w:hAnsi="Arial" w:cs="Arial"/>
          <w:lang w:val="en-US"/>
        </w:rPr>
        <w:t>Health Care Assistant.</w:t>
      </w:r>
    </w:p>
    <w:p w14:paraId="64ABFCA0" w14:textId="01EF1A65" w:rsidR="00684F05" w:rsidRDefault="00684F05" w:rsidP="00684F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5" w:name="_Toc499911268"/>
      <w:r>
        <w:rPr>
          <w:rFonts w:ascii="Arial" w:hAnsi="Arial" w:cs="Arial"/>
          <w:smallCaps w:val="0"/>
          <w:sz w:val="24"/>
          <w:szCs w:val="24"/>
        </w:rPr>
        <w:t>Purpose</w:t>
      </w:r>
      <w:bookmarkEnd w:id="25"/>
    </w:p>
    <w:p w14:paraId="77D6AE71" w14:textId="77777777" w:rsidR="00684F05" w:rsidRDefault="00684F05" w:rsidP="00684F05">
      <w:pPr>
        <w:rPr>
          <w:lang w:val="en-US"/>
        </w:rPr>
      </w:pPr>
    </w:p>
    <w:p w14:paraId="2CEAAF2D" w14:textId="781C6FB9" w:rsidR="00D343CB" w:rsidRDefault="00684F05" w:rsidP="00684F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purpose of the new patient health check is to discuss any existing conditions with the patient, whilst also taking the opportunity to review the patient’s lifestyle and make r</w:t>
      </w:r>
      <w:r w:rsidR="00D343CB">
        <w:rPr>
          <w:rFonts w:ascii="Arial" w:hAnsi="Arial" w:cs="Arial"/>
          <w:lang w:val="en-US"/>
        </w:rPr>
        <w:t>ecommendations through evidence-</w:t>
      </w:r>
      <w:r>
        <w:rPr>
          <w:rFonts w:ascii="Arial" w:hAnsi="Arial" w:cs="Arial"/>
          <w:lang w:val="en-US"/>
        </w:rPr>
        <w:t>based advice in order to improve the lifestyle of the patient.</w:t>
      </w:r>
    </w:p>
    <w:p w14:paraId="769261CA" w14:textId="77777777" w:rsidR="00D343CB" w:rsidRDefault="00D343CB" w:rsidP="00684F05">
      <w:pPr>
        <w:rPr>
          <w:rFonts w:ascii="Arial" w:hAnsi="Arial" w:cs="Arial"/>
          <w:lang w:val="en-US"/>
        </w:rPr>
      </w:pPr>
    </w:p>
    <w:p w14:paraId="49340719" w14:textId="2C1E7864" w:rsidR="00091880" w:rsidRDefault="00684F05" w:rsidP="00091880">
      <w:pPr>
        <w:pStyle w:val="Heading2"/>
        <w:rPr>
          <w:rFonts w:ascii="Arial" w:hAnsi="Arial" w:cs="Arial"/>
          <w:smallCaps w:val="0"/>
          <w:sz w:val="24"/>
          <w:szCs w:val="24"/>
        </w:rPr>
      </w:pPr>
      <w:r>
        <w:rPr>
          <w:rFonts w:ascii="Arial" w:hAnsi="Arial" w:cs="Arial"/>
        </w:rPr>
        <w:t xml:space="preserve"> </w:t>
      </w:r>
      <w:bookmarkStart w:id="26" w:name="_Toc499911269"/>
      <w:r w:rsidR="00D343CB">
        <w:rPr>
          <w:rFonts w:ascii="Arial" w:hAnsi="Arial" w:cs="Arial"/>
          <w:smallCaps w:val="0"/>
          <w:sz w:val="24"/>
          <w:szCs w:val="24"/>
        </w:rPr>
        <w:t>Patient i</w:t>
      </w:r>
      <w:r w:rsidR="00091880">
        <w:rPr>
          <w:rFonts w:ascii="Arial" w:hAnsi="Arial" w:cs="Arial"/>
          <w:smallCaps w:val="0"/>
          <w:sz w:val="24"/>
          <w:szCs w:val="24"/>
        </w:rPr>
        <w:t>nvitation</w:t>
      </w:r>
      <w:bookmarkEnd w:id="26"/>
    </w:p>
    <w:p w14:paraId="4CD43330" w14:textId="3545AB77" w:rsidR="00684F05" w:rsidRDefault="00684F05" w:rsidP="00684F05">
      <w:pPr>
        <w:rPr>
          <w:rFonts w:ascii="Arial" w:hAnsi="Arial" w:cs="Arial"/>
          <w:lang w:val="en-US"/>
        </w:rPr>
      </w:pPr>
    </w:p>
    <w:p w14:paraId="60C0E934" w14:textId="3D72FC15" w:rsidR="00091880" w:rsidRDefault="00091880" w:rsidP="00684F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Patients will be invited to attend a new patient health check when th</w:t>
      </w:r>
      <w:r w:rsidR="00D343CB">
        <w:rPr>
          <w:rFonts w:ascii="Arial" w:hAnsi="Arial" w:cs="Arial"/>
          <w:lang w:val="en-US"/>
        </w:rPr>
        <w:t xml:space="preserve">ey register with the practice. </w:t>
      </w:r>
      <w:r>
        <w:rPr>
          <w:rFonts w:ascii="Arial" w:hAnsi="Arial" w:cs="Arial"/>
          <w:lang w:val="en-US"/>
        </w:rPr>
        <w:t xml:space="preserve">Ideally, this appointment will be arranged for a date within one month of the patient registering at the practice.  </w:t>
      </w:r>
    </w:p>
    <w:p w14:paraId="0198B225" w14:textId="77777777" w:rsidR="00091880" w:rsidRDefault="00091880" w:rsidP="00684F05">
      <w:pPr>
        <w:rPr>
          <w:rFonts w:ascii="Arial" w:hAnsi="Arial" w:cs="Arial"/>
          <w:lang w:val="en-US"/>
        </w:rPr>
      </w:pPr>
    </w:p>
    <w:p w14:paraId="6F3E5D75" w14:textId="4ACA01A9" w:rsidR="00091880" w:rsidRDefault="00091880" w:rsidP="00684F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Patients are to be advised that they can be seen by a GP or nurse prior to th</w:t>
      </w:r>
      <w:r w:rsidR="00D343CB">
        <w:rPr>
          <w:rFonts w:ascii="Arial" w:hAnsi="Arial" w:cs="Arial"/>
          <w:lang w:val="en-US"/>
        </w:rPr>
        <w:t xml:space="preserve">is </w:t>
      </w:r>
      <w:proofErr w:type="gramStart"/>
      <w:r w:rsidR="00D343CB">
        <w:rPr>
          <w:rFonts w:ascii="Arial" w:hAnsi="Arial" w:cs="Arial"/>
          <w:lang w:val="en-US"/>
        </w:rPr>
        <w:t>check, but</w:t>
      </w:r>
      <w:proofErr w:type="gramEnd"/>
      <w:r w:rsidR="00D343CB">
        <w:rPr>
          <w:rFonts w:ascii="Arial" w:hAnsi="Arial" w:cs="Arial"/>
          <w:lang w:val="en-US"/>
        </w:rPr>
        <w:t xml:space="preserve"> will still need</w:t>
      </w:r>
      <w:r>
        <w:rPr>
          <w:rFonts w:ascii="Arial" w:hAnsi="Arial" w:cs="Arial"/>
          <w:lang w:val="en-US"/>
        </w:rPr>
        <w:t xml:space="preserve"> </w:t>
      </w:r>
      <w:r w:rsidR="004163D3">
        <w:rPr>
          <w:rFonts w:ascii="Arial" w:hAnsi="Arial" w:cs="Arial"/>
          <w:lang w:val="en-US"/>
        </w:rPr>
        <w:t>to attend the original appointment for</w:t>
      </w:r>
      <w:r>
        <w:rPr>
          <w:rFonts w:ascii="Arial" w:hAnsi="Arial" w:cs="Arial"/>
          <w:lang w:val="en-US"/>
        </w:rPr>
        <w:t xml:space="preserve"> the check as planned.</w:t>
      </w:r>
    </w:p>
    <w:p w14:paraId="36470FD5" w14:textId="284C669D" w:rsidR="004163D3" w:rsidRDefault="00D343CB" w:rsidP="004163D3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7" w:name="_Toc499911270"/>
      <w:r>
        <w:rPr>
          <w:rFonts w:ascii="Arial" w:hAnsi="Arial" w:cs="Arial"/>
          <w:smallCaps w:val="0"/>
          <w:sz w:val="24"/>
          <w:szCs w:val="24"/>
        </w:rPr>
        <w:t>Recording i</w:t>
      </w:r>
      <w:r w:rsidR="004163D3">
        <w:rPr>
          <w:rFonts w:ascii="Arial" w:hAnsi="Arial" w:cs="Arial"/>
          <w:smallCaps w:val="0"/>
          <w:sz w:val="24"/>
          <w:szCs w:val="24"/>
        </w:rPr>
        <w:t>nformation</w:t>
      </w:r>
      <w:bookmarkEnd w:id="27"/>
    </w:p>
    <w:p w14:paraId="4F1C3391" w14:textId="77777777" w:rsidR="004163D3" w:rsidRDefault="004163D3" w:rsidP="004163D3">
      <w:pPr>
        <w:rPr>
          <w:lang w:val="en-US"/>
        </w:rPr>
      </w:pPr>
    </w:p>
    <w:p w14:paraId="4950A7ED" w14:textId="588A7190" w:rsidR="004163D3" w:rsidRPr="00684F05" w:rsidRDefault="004163D3" w:rsidP="00684F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staff are to ensure </w:t>
      </w:r>
      <w:r w:rsidR="00D343CB">
        <w:rPr>
          <w:rFonts w:ascii="Arial" w:hAnsi="Arial" w:cs="Arial"/>
          <w:lang w:val="en-US"/>
        </w:rPr>
        <w:t>that they accurately record and read-</w:t>
      </w:r>
      <w:r>
        <w:rPr>
          <w:rFonts w:ascii="Arial" w:hAnsi="Arial" w:cs="Arial"/>
          <w:lang w:val="en-US"/>
        </w:rPr>
        <w:t xml:space="preserve">code invitations for </w:t>
      </w:r>
      <w:r w:rsidR="00D343CB">
        <w:rPr>
          <w:rFonts w:ascii="Arial" w:hAnsi="Arial" w:cs="Arial"/>
          <w:lang w:val="en-US"/>
        </w:rPr>
        <w:t>new patient health checks in each</w:t>
      </w:r>
      <w:r>
        <w:rPr>
          <w:rFonts w:ascii="Arial" w:hAnsi="Arial" w:cs="Arial"/>
          <w:lang w:val="en-US"/>
        </w:rPr>
        <w:t xml:space="preserve"> patient’s healthcare record.</w:t>
      </w:r>
    </w:p>
    <w:p w14:paraId="19C32C27" w14:textId="5A3A3436" w:rsidR="00E9196C" w:rsidRPr="000858D5" w:rsidRDefault="00E9196C" w:rsidP="00E9196C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28" w:name="_Toc499911271"/>
      <w:r>
        <w:rPr>
          <w:sz w:val="28"/>
          <w:szCs w:val="28"/>
        </w:rPr>
        <w:t>Summary</w:t>
      </w:r>
      <w:bookmarkEnd w:id="28"/>
    </w:p>
    <w:p w14:paraId="77732502" w14:textId="77777777" w:rsidR="000F35E7" w:rsidRDefault="000F35E7" w:rsidP="000F35E7">
      <w:pPr>
        <w:rPr>
          <w:lang w:val="en-US"/>
        </w:rPr>
      </w:pPr>
    </w:p>
    <w:p w14:paraId="4DEE1115" w14:textId="08DB5EED" w:rsidR="000F35E7" w:rsidRDefault="00634F2D" w:rsidP="000F35E7">
      <w:pPr>
        <w:rPr>
          <w:lang w:val="en-US"/>
        </w:rPr>
      </w:pPr>
      <w:r w:rsidRPr="00634F2D">
        <w:rPr>
          <w:rFonts w:ascii="Arial" w:hAnsi="Arial" w:cs="Arial"/>
          <w:lang w:val="en-US"/>
        </w:rPr>
        <w:lastRenderedPageBreak/>
        <w:t xml:space="preserve">It is the responsibility of </w:t>
      </w:r>
      <w:r w:rsidR="004D4FB9">
        <w:rPr>
          <w:rFonts w:ascii="Arial" w:hAnsi="Arial" w:cs="Arial"/>
          <w:lang w:val="en-US"/>
        </w:rPr>
        <w:t xml:space="preserve">all staff at </w:t>
      </w:r>
      <w:r w:rsidR="0097036D">
        <w:rPr>
          <w:rFonts w:ascii="Arial" w:hAnsi="Arial" w:cs="Arial"/>
          <w:lang w:val="en-US"/>
        </w:rPr>
        <w:t>Rough Hay Surgery</w:t>
      </w:r>
      <w:r w:rsidRPr="00634F2D">
        <w:rPr>
          <w:rFonts w:ascii="Arial" w:hAnsi="Arial" w:cs="Arial"/>
          <w:lang w:val="en-US"/>
        </w:rPr>
        <w:t xml:space="preserve"> to ensure </w:t>
      </w:r>
      <w:r w:rsidR="00D343CB">
        <w:rPr>
          <w:rFonts w:ascii="Arial" w:hAnsi="Arial" w:cs="Arial"/>
          <w:lang w:val="en-US"/>
        </w:rPr>
        <w:t xml:space="preserve">that </w:t>
      </w:r>
      <w:r w:rsidR="00193FD6">
        <w:rPr>
          <w:rFonts w:ascii="Arial" w:hAnsi="Arial" w:cs="Arial"/>
          <w:lang w:val="en-US"/>
        </w:rPr>
        <w:t>patients are registered appropriately and that they</w:t>
      </w:r>
      <w:r w:rsidR="004D4FB9">
        <w:rPr>
          <w:rFonts w:ascii="Arial" w:hAnsi="Arial" w:cs="Arial"/>
          <w:lang w:val="en-US"/>
        </w:rPr>
        <w:t xml:space="preserve"> understand </w:t>
      </w:r>
      <w:r w:rsidR="00091880">
        <w:rPr>
          <w:rFonts w:ascii="Arial" w:hAnsi="Arial" w:cs="Arial"/>
          <w:lang w:val="en-US"/>
        </w:rPr>
        <w:t xml:space="preserve">the difference between </w:t>
      </w:r>
      <w:r w:rsidR="00FB2959">
        <w:rPr>
          <w:rFonts w:ascii="Arial" w:hAnsi="Arial" w:cs="Arial"/>
          <w:lang w:val="en-US"/>
        </w:rPr>
        <w:t>the NHS Health Check</w:t>
      </w:r>
      <w:r w:rsidR="00091880">
        <w:rPr>
          <w:rFonts w:ascii="Arial" w:hAnsi="Arial" w:cs="Arial"/>
          <w:lang w:val="en-US"/>
        </w:rPr>
        <w:t xml:space="preserve"> and</w:t>
      </w:r>
      <w:r w:rsidR="00D343CB">
        <w:rPr>
          <w:rFonts w:ascii="Arial" w:hAnsi="Arial" w:cs="Arial"/>
          <w:lang w:val="en-US"/>
        </w:rPr>
        <w:t xml:space="preserve"> the new patient health check. </w:t>
      </w:r>
      <w:r w:rsidR="00091880">
        <w:rPr>
          <w:rFonts w:ascii="Arial" w:hAnsi="Arial" w:cs="Arial"/>
          <w:lang w:val="en-US"/>
        </w:rPr>
        <w:t>Patients must also be advised of what both checks</w:t>
      </w:r>
      <w:r w:rsidR="00FB2959">
        <w:rPr>
          <w:rFonts w:ascii="Arial" w:hAnsi="Arial" w:cs="Arial"/>
          <w:lang w:val="en-US"/>
        </w:rPr>
        <w:t xml:space="preserve"> entail, the requirement for the practice to undertake the checks and, most importantly</w:t>
      </w:r>
      <w:r w:rsidR="00D343CB">
        <w:rPr>
          <w:rFonts w:ascii="Arial" w:hAnsi="Arial" w:cs="Arial"/>
          <w:lang w:val="en-US"/>
        </w:rPr>
        <w:t>, that</w:t>
      </w:r>
      <w:r w:rsidR="00FB2959">
        <w:rPr>
          <w:rFonts w:ascii="Arial" w:hAnsi="Arial" w:cs="Arial"/>
          <w:lang w:val="en-US"/>
        </w:rPr>
        <w:t xml:space="preserve"> the </w:t>
      </w:r>
      <w:r w:rsidR="00091880">
        <w:rPr>
          <w:rFonts w:ascii="Arial" w:hAnsi="Arial" w:cs="Arial"/>
          <w:lang w:val="en-US"/>
        </w:rPr>
        <w:t>c</w:t>
      </w:r>
      <w:r w:rsidR="00FB2959">
        <w:rPr>
          <w:rFonts w:ascii="Arial" w:hAnsi="Arial" w:cs="Arial"/>
          <w:lang w:val="en-US"/>
        </w:rPr>
        <w:t>heck</w:t>
      </w:r>
      <w:r w:rsidR="00D343CB">
        <w:rPr>
          <w:rFonts w:ascii="Arial" w:hAnsi="Arial" w:cs="Arial"/>
          <w:lang w:val="en-US"/>
        </w:rPr>
        <w:t>s</w:t>
      </w:r>
      <w:r w:rsidR="00FB2959">
        <w:rPr>
          <w:rFonts w:ascii="Arial" w:hAnsi="Arial" w:cs="Arial"/>
          <w:lang w:val="en-US"/>
        </w:rPr>
        <w:t xml:space="preserve"> </w:t>
      </w:r>
      <w:r w:rsidR="00091880">
        <w:rPr>
          <w:rFonts w:ascii="Arial" w:hAnsi="Arial" w:cs="Arial"/>
          <w:lang w:val="en-US"/>
        </w:rPr>
        <w:t>are</w:t>
      </w:r>
      <w:r w:rsidR="00FB2959">
        <w:rPr>
          <w:rFonts w:ascii="Arial" w:hAnsi="Arial" w:cs="Arial"/>
          <w:lang w:val="en-US"/>
        </w:rPr>
        <w:t xml:space="preserve"> preventative measure</w:t>
      </w:r>
      <w:r w:rsidR="00091880">
        <w:rPr>
          <w:rFonts w:ascii="Arial" w:hAnsi="Arial" w:cs="Arial"/>
          <w:lang w:val="en-US"/>
        </w:rPr>
        <w:t>s</w:t>
      </w:r>
      <w:r w:rsidR="00FB2959">
        <w:rPr>
          <w:rFonts w:ascii="Arial" w:hAnsi="Arial" w:cs="Arial"/>
          <w:lang w:val="en-US"/>
        </w:rPr>
        <w:t xml:space="preserve"> with an overall aim of increasing patient </w:t>
      </w:r>
      <w:r w:rsidR="00067DD3">
        <w:rPr>
          <w:rFonts w:ascii="Arial" w:hAnsi="Arial" w:cs="Arial"/>
          <w:lang w:val="en-US"/>
        </w:rPr>
        <w:t>well-being</w:t>
      </w:r>
      <w:r w:rsidR="00FB2959">
        <w:rPr>
          <w:rFonts w:ascii="Arial" w:hAnsi="Arial" w:cs="Arial"/>
          <w:lang w:val="en-US"/>
        </w:rPr>
        <w:t xml:space="preserve"> and helping patients</w:t>
      </w:r>
      <w:r w:rsidR="00D343CB">
        <w:rPr>
          <w:rFonts w:ascii="Arial" w:hAnsi="Arial" w:cs="Arial"/>
          <w:lang w:val="en-US"/>
        </w:rPr>
        <w:t xml:space="preserve"> to</w:t>
      </w:r>
      <w:r w:rsidR="00FB2959">
        <w:rPr>
          <w:rFonts w:ascii="Arial" w:hAnsi="Arial" w:cs="Arial"/>
          <w:lang w:val="en-US"/>
        </w:rPr>
        <w:t xml:space="preserve"> live longer.</w:t>
      </w:r>
      <w:r w:rsidR="00231DAE">
        <w:rPr>
          <w:rFonts w:ascii="Arial" w:hAnsi="Arial" w:cs="Arial"/>
          <w:lang w:val="en-US"/>
        </w:rPr>
        <w:t xml:space="preserve"> </w:t>
      </w:r>
    </w:p>
    <w:p w14:paraId="3E6A6FD2" w14:textId="77777777" w:rsidR="00791DD4" w:rsidRDefault="00791DD4" w:rsidP="00791DD4">
      <w:pPr>
        <w:rPr>
          <w:rFonts w:ascii="Arial" w:hAnsi="Arial" w:cs="Arial"/>
          <w:color w:val="002060"/>
          <w:lang w:val="en-US"/>
        </w:rPr>
      </w:pPr>
    </w:p>
    <w:p w14:paraId="54778A89" w14:textId="77777777" w:rsidR="00193FD6" w:rsidRDefault="00193FD6" w:rsidP="00791DD4">
      <w:pPr>
        <w:rPr>
          <w:rFonts w:ascii="Arial" w:hAnsi="Arial" w:cs="Arial"/>
          <w:color w:val="002060"/>
          <w:lang w:val="en-US"/>
        </w:rPr>
      </w:pPr>
    </w:p>
    <w:p w14:paraId="090A9884" w14:textId="77777777" w:rsidR="00193FD6" w:rsidRDefault="00193FD6" w:rsidP="00791DD4">
      <w:pPr>
        <w:rPr>
          <w:rFonts w:ascii="Arial" w:hAnsi="Arial" w:cs="Arial"/>
          <w:color w:val="002060"/>
          <w:lang w:val="en-US"/>
        </w:rPr>
      </w:pPr>
    </w:p>
    <w:p w14:paraId="7689C542" w14:textId="77777777" w:rsidR="00193FD6" w:rsidRDefault="00193FD6" w:rsidP="00791DD4">
      <w:pPr>
        <w:rPr>
          <w:rFonts w:ascii="Arial" w:hAnsi="Arial" w:cs="Arial"/>
          <w:color w:val="002060"/>
          <w:lang w:val="en-US"/>
        </w:rPr>
      </w:pPr>
    </w:p>
    <w:p w14:paraId="1E6175DB" w14:textId="77777777" w:rsidR="00193FD6" w:rsidRDefault="00193FD6" w:rsidP="00791DD4">
      <w:pPr>
        <w:rPr>
          <w:rFonts w:ascii="Arial" w:hAnsi="Arial" w:cs="Arial"/>
          <w:color w:val="002060"/>
          <w:lang w:val="en-US"/>
        </w:rPr>
      </w:pPr>
    </w:p>
    <w:p w14:paraId="3577CA01" w14:textId="77777777" w:rsidR="00193FD6" w:rsidRDefault="00193FD6" w:rsidP="00791DD4">
      <w:pPr>
        <w:rPr>
          <w:rFonts w:ascii="Arial" w:hAnsi="Arial" w:cs="Arial"/>
          <w:color w:val="002060"/>
          <w:lang w:val="en-US"/>
        </w:rPr>
      </w:pPr>
    </w:p>
    <w:sectPr w:rsidR="00193FD6" w:rsidSect="0097036D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3AC2" w14:textId="77777777" w:rsidR="005D4ACA" w:rsidRDefault="005D4ACA" w:rsidP="00D85E4D">
      <w:r>
        <w:separator/>
      </w:r>
    </w:p>
  </w:endnote>
  <w:endnote w:type="continuationSeparator" w:id="0">
    <w:p w14:paraId="3F0FC0BB" w14:textId="77777777" w:rsidR="005D4ACA" w:rsidRDefault="005D4ACA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5C31" w14:textId="77777777" w:rsidR="005D4ACA" w:rsidRDefault="005D4ACA" w:rsidP="00D85E4D">
      <w:r>
        <w:separator/>
      </w:r>
    </w:p>
  </w:footnote>
  <w:footnote w:type="continuationSeparator" w:id="0">
    <w:p w14:paraId="4BAB6102" w14:textId="77777777" w:rsidR="005D4ACA" w:rsidRDefault="005D4ACA" w:rsidP="00D85E4D">
      <w:r>
        <w:continuationSeparator/>
      </w:r>
    </w:p>
  </w:footnote>
  <w:footnote w:id="1">
    <w:p w14:paraId="7DB1A200" w14:textId="2B68A0CE" w:rsidR="001E25BC" w:rsidRDefault="001E25BC">
      <w:pPr>
        <w:pStyle w:val="FootnoteText"/>
      </w:pPr>
    </w:p>
  </w:footnote>
  <w:footnote w:id="2">
    <w:p w14:paraId="4497E601" w14:textId="0860A158" w:rsidR="001E25BC" w:rsidRDefault="001E25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1583A">
          <w:rPr>
            <w:rStyle w:val="Hyperlink"/>
          </w:rPr>
          <w:t>National Health Service Act 2006</w:t>
        </w:r>
      </w:hyperlink>
      <w:r>
        <w:t xml:space="preserve"> </w:t>
      </w:r>
    </w:p>
  </w:footnote>
  <w:footnote w:id="3">
    <w:p w14:paraId="7D6EAA0A" w14:textId="2E7D494E" w:rsidR="001E25BC" w:rsidRDefault="001E25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4674C5">
          <w:rPr>
            <w:rStyle w:val="Hyperlink"/>
          </w:rPr>
          <w:t>NHS England Choice of GP Practice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6"/>
    <w:multiLevelType w:val="hybridMultilevel"/>
    <w:tmpl w:val="8A1A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2963"/>
    <w:multiLevelType w:val="hybridMultilevel"/>
    <w:tmpl w:val="C9E0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866"/>
    <w:multiLevelType w:val="hybridMultilevel"/>
    <w:tmpl w:val="D740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DB7C16"/>
    <w:multiLevelType w:val="hybridMultilevel"/>
    <w:tmpl w:val="3CAE3814"/>
    <w:lvl w:ilvl="0" w:tplc="E6DC06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E54025"/>
    <w:multiLevelType w:val="hybridMultilevel"/>
    <w:tmpl w:val="354AD1DA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B0BB6"/>
    <w:multiLevelType w:val="hybridMultilevel"/>
    <w:tmpl w:val="CE18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65AA1"/>
    <w:multiLevelType w:val="hybridMultilevel"/>
    <w:tmpl w:val="4BB4C6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85B6D38"/>
    <w:multiLevelType w:val="hybridMultilevel"/>
    <w:tmpl w:val="85AC76E0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F10B0"/>
    <w:multiLevelType w:val="hybridMultilevel"/>
    <w:tmpl w:val="ABA8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C5A"/>
    <w:multiLevelType w:val="hybridMultilevel"/>
    <w:tmpl w:val="0FBAD1CC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32366F82"/>
    <w:multiLevelType w:val="hybridMultilevel"/>
    <w:tmpl w:val="01E890E2"/>
    <w:lvl w:ilvl="0" w:tplc="30CE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A64AC"/>
    <w:multiLevelType w:val="multilevel"/>
    <w:tmpl w:val="EE5CF7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7143B5A"/>
    <w:multiLevelType w:val="hybridMultilevel"/>
    <w:tmpl w:val="7CEA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606B4"/>
    <w:multiLevelType w:val="hybridMultilevel"/>
    <w:tmpl w:val="F964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93063"/>
    <w:multiLevelType w:val="hybridMultilevel"/>
    <w:tmpl w:val="29E23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D0E86"/>
    <w:multiLevelType w:val="hybridMultilevel"/>
    <w:tmpl w:val="9FBA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32319"/>
    <w:multiLevelType w:val="hybridMultilevel"/>
    <w:tmpl w:val="42A4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F46EC"/>
    <w:multiLevelType w:val="hybridMultilevel"/>
    <w:tmpl w:val="0DB6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B208A"/>
    <w:multiLevelType w:val="hybridMultilevel"/>
    <w:tmpl w:val="5808B9C0"/>
    <w:lvl w:ilvl="0" w:tplc="B22E4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E6C17"/>
    <w:multiLevelType w:val="hybridMultilevel"/>
    <w:tmpl w:val="F644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D3C82"/>
    <w:multiLevelType w:val="hybridMultilevel"/>
    <w:tmpl w:val="1C92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746A6"/>
    <w:multiLevelType w:val="hybridMultilevel"/>
    <w:tmpl w:val="39CC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6326E"/>
    <w:multiLevelType w:val="hybridMultilevel"/>
    <w:tmpl w:val="E82EC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A1D9D"/>
    <w:multiLevelType w:val="hybridMultilevel"/>
    <w:tmpl w:val="A9B88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F61BB"/>
    <w:multiLevelType w:val="hybridMultilevel"/>
    <w:tmpl w:val="3188B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E668B"/>
    <w:multiLevelType w:val="hybridMultilevel"/>
    <w:tmpl w:val="32FEB69E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54A15"/>
    <w:multiLevelType w:val="hybridMultilevel"/>
    <w:tmpl w:val="A90CC86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857815266">
    <w:abstractNumId w:val="10"/>
  </w:num>
  <w:num w:numId="2" w16cid:durableId="737673685">
    <w:abstractNumId w:val="3"/>
  </w:num>
  <w:num w:numId="3" w16cid:durableId="332530782">
    <w:abstractNumId w:val="14"/>
  </w:num>
  <w:num w:numId="4" w16cid:durableId="1200514169">
    <w:abstractNumId w:val="13"/>
  </w:num>
  <w:num w:numId="5" w16cid:durableId="1098676761">
    <w:abstractNumId w:val="20"/>
  </w:num>
  <w:num w:numId="6" w16cid:durableId="291906274">
    <w:abstractNumId w:val="4"/>
  </w:num>
  <w:num w:numId="7" w16cid:durableId="1194727896">
    <w:abstractNumId w:val="6"/>
  </w:num>
  <w:num w:numId="8" w16cid:durableId="834035386">
    <w:abstractNumId w:val="27"/>
  </w:num>
  <w:num w:numId="9" w16cid:durableId="446705244">
    <w:abstractNumId w:val="5"/>
  </w:num>
  <w:num w:numId="10" w16cid:durableId="1266689411">
    <w:abstractNumId w:val="8"/>
  </w:num>
  <w:num w:numId="11" w16cid:durableId="1948074549">
    <w:abstractNumId w:val="2"/>
  </w:num>
  <w:num w:numId="12" w16cid:durableId="1554586333">
    <w:abstractNumId w:val="9"/>
  </w:num>
  <w:num w:numId="13" w16cid:durableId="2079402298">
    <w:abstractNumId w:val="21"/>
  </w:num>
  <w:num w:numId="14" w16cid:durableId="2053797906">
    <w:abstractNumId w:val="22"/>
  </w:num>
  <w:num w:numId="15" w16cid:durableId="379130922">
    <w:abstractNumId w:val="15"/>
  </w:num>
  <w:num w:numId="16" w16cid:durableId="237518328">
    <w:abstractNumId w:val="11"/>
  </w:num>
  <w:num w:numId="17" w16cid:durableId="1825734384">
    <w:abstractNumId w:val="23"/>
  </w:num>
  <w:num w:numId="18" w16cid:durableId="1889681700">
    <w:abstractNumId w:val="16"/>
  </w:num>
  <w:num w:numId="19" w16cid:durableId="1742020264">
    <w:abstractNumId w:val="28"/>
  </w:num>
  <w:num w:numId="20" w16cid:durableId="692077237">
    <w:abstractNumId w:val="25"/>
  </w:num>
  <w:num w:numId="21" w16cid:durableId="735250487">
    <w:abstractNumId w:val="17"/>
  </w:num>
  <w:num w:numId="22" w16cid:durableId="2020617175">
    <w:abstractNumId w:val="12"/>
  </w:num>
  <w:num w:numId="23" w16cid:durableId="209534244">
    <w:abstractNumId w:val="19"/>
  </w:num>
  <w:num w:numId="24" w16cid:durableId="1884294756">
    <w:abstractNumId w:val="7"/>
  </w:num>
  <w:num w:numId="25" w16cid:durableId="77211267">
    <w:abstractNumId w:val="24"/>
  </w:num>
  <w:num w:numId="26" w16cid:durableId="997028733">
    <w:abstractNumId w:val="1"/>
  </w:num>
  <w:num w:numId="27" w16cid:durableId="445007449">
    <w:abstractNumId w:val="26"/>
  </w:num>
  <w:num w:numId="28" w16cid:durableId="2127003070">
    <w:abstractNumId w:val="18"/>
  </w:num>
  <w:num w:numId="29" w16cid:durableId="1919367177">
    <w:abstractNumId w:val="0"/>
  </w:num>
  <w:num w:numId="30" w16cid:durableId="5732012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96"/>
    <w:rsid w:val="0001030F"/>
    <w:rsid w:val="00034C0F"/>
    <w:rsid w:val="00044905"/>
    <w:rsid w:val="000606A2"/>
    <w:rsid w:val="00067DD3"/>
    <w:rsid w:val="00075116"/>
    <w:rsid w:val="000858D5"/>
    <w:rsid w:val="00091880"/>
    <w:rsid w:val="00094747"/>
    <w:rsid w:val="000A4058"/>
    <w:rsid w:val="000C2196"/>
    <w:rsid w:val="000D0020"/>
    <w:rsid w:val="000F35E7"/>
    <w:rsid w:val="000F4553"/>
    <w:rsid w:val="000F50CE"/>
    <w:rsid w:val="000F5FF7"/>
    <w:rsid w:val="001037C5"/>
    <w:rsid w:val="00123945"/>
    <w:rsid w:val="0012716C"/>
    <w:rsid w:val="00144A86"/>
    <w:rsid w:val="00152800"/>
    <w:rsid w:val="00172ACD"/>
    <w:rsid w:val="00182759"/>
    <w:rsid w:val="001872B9"/>
    <w:rsid w:val="00191E4C"/>
    <w:rsid w:val="00193FD6"/>
    <w:rsid w:val="001A01D7"/>
    <w:rsid w:val="001A7A41"/>
    <w:rsid w:val="001B15E6"/>
    <w:rsid w:val="001C2CC7"/>
    <w:rsid w:val="001E25BC"/>
    <w:rsid w:val="00222365"/>
    <w:rsid w:val="00231DAE"/>
    <w:rsid w:val="00245C51"/>
    <w:rsid w:val="0024704E"/>
    <w:rsid w:val="002C0F0A"/>
    <w:rsid w:val="002C6527"/>
    <w:rsid w:val="002C7508"/>
    <w:rsid w:val="002D18C1"/>
    <w:rsid w:val="002F1096"/>
    <w:rsid w:val="002F157E"/>
    <w:rsid w:val="002F4808"/>
    <w:rsid w:val="0031325B"/>
    <w:rsid w:val="00343E43"/>
    <w:rsid w:val="0035306F"/>
    <w:rsid w:val="00357D85"/>
    <w:rsid w:val="00361EBF"/>
    <w:rsid w:val="00366CEC"/>
    <w:rsid w:val="003870E1"/>
    <w:rsid w:val="00390205"/>
    <w:rsid w:val="00395603"/>
    <w:rsid w:val="003C1644"/>
    <w:rsid w:val="003D7BC6"/>
    <w:rsid w:val="003E668B"/>
    <w:rsid w:val="003E72F8"/>
    <w:rsid w:val="003F36B9"/>
    <w:rsid w:val="00411341"/>
    <w:rsid w:val="00411AF8"/>
    <w:rsid w:val="004163D3"/>
    <w:rsid w:val="00433942"/>
    <w:rsid w:val="0043549F"/>
    <w:rsid w:val="00464F50"/>
    <w:rsid w:val="004674C5"/>
    <w:rsid w:val="004763A7"/>
    <w:rsid w:val="00480526"/>
    <w:rsid w:val="004A2D8A"/>
    <w:rsid w:val="004D4FB9"/>
    <w:rsid w:val="004E458A"/>
    <w:rsid w:val="004E647A"/>
    <w:rsid w:val="004E7453"/>
    <w:rsid w:val="004F11CB"/>
    <w:rsid w:val="00515291"/>
    <w:rsid w:val="00557E95"/>
    <w:rsid w:val="005629E0"/>
    <w:rsid w:val="00574ADC"/>
    <w:rsid w:val="005923E7"/>
    <w:rsid w:val="005B058D"/>
    <w:rsid w:val="005C0233"/>
    <w:rsid w:val="005D4ACA"/>
    <w:rsid w:val="005E4FBB"/>
    <w:rsid w:val="00634F2D"/>
    <w:rsid w:val="00674887"/>
    <w:rsid w:val="00675084"/>
    <w:rsid w:val="00677D3D"/>
    <w:rsid w:val="00681FDF"/>
    <w:rsid w:val="00684F05"/>
    <w:rsid w:val="006862FE"/>
    <w:rsid w:val="00692ED5"/>
    <w:rsid w:val="006C289F"/>
    <w:rsid w:val="006C2D92"/>
    <w:rsid w:val="006E08CE"/>
    <w:rsid w:val="00713EF4"/>
    <w:rsid w:val="0071583A"/>
    <w:rsid w:val="00722710"/>
    <w:rsid w:val="00730CC3"/>
    <w:rsid w:val="007326E3"/>
    <w:rsid w:val="00741138"/>
    <w:rsid w:val="00746670"/>
    <w:rsid w:val="00783572"/>
    <w:rsid w:val="007869B6"/>
    <w:rsid w:val="00791DD4"/>
    <w:rsid w:val="00796159"/>
    <w:rsid w:val="007C177B"/>
    <w:rsid w:val="007C4EA7"/>
    <w:rsid w:val="007C657E"/>
    <w:rsid w:val="008603AE"/>
    <w:rsid w:val="00862EB6"/>
    <w:rsid w:val="008638CF"/>
    <w:rsid w:val="00876911"/>
    <w:rsid w:val="00890ED5"/>
    <w:rsid w:val="00896912"/>
    <w:rsid w:val="008A36FF"/>
    <w:rsid w:val="008A5CCE"/>
    <w:rsid w:val="008D5E2A"/>
    <w:rsid w:val="008F185C"/>
    <w:rsid w:val="009275ED"/>
    <w:rsid w:val="009320AB"/>
    <w:rsid w:val="00940EB7"/>
    <w:rsid w:val="00943551"/>
    <w:rsid w:val="009527FE"/>
    <w:rsid w:val="00965FEA"/>
    <w:rsid w:val="0097036D"/>
    <w:rsid w:val="009865FC"/>
    <w:rsid w:val="009A603A"/>
    <w:rsid w:val="009C12C1"/>
    <w:rsid w:val="009D3BBE"/>
    <w:rsid w:val="009E44EC"/>
    <w:rsid w:val="009F3854"/>
    <w:rsid w:val="009F75EF"/>
    <w:rsid w:val="00A12A6E"/>
    <w:rsid w:val="00A17072"/>
    <w:rsid w:val="00A26A10"/>
    <w:rsid w:val="00A33021"/>
    <w:rsid w:val="00A47272"/>
    <w:rsid w:val="00A721EE"/>
    <w:rsid w:val="00A80FA1"/>
    <w:rsid w:val="00A910EC"/>
    <w:rsid w:val="00AB3844"/>
    <w:rsid w:val="00AC226A"/>
    <w:rsid w:val="00AD45AA"/>
    <w:rsid w:val="00AE091B"/>
    <w:rsid w:val="00AF4808"/>
    <w:rsid w:val="00B22E1E"/>
    <w:rsid w:val="00B2339A"/>
    <w:rsid w:val="00B45587"/>
    <w:rsid w:val="00B506CA"/>
    <w:rsid w:val="00BA02C9"/>
    <w:rsid w:val="00BB564E"/>
    <w:rsid w:val="00BE003C"/>
    <w:rsid w:val="00BE3256"/>
    <w:rsid w:val="00BE4B68"/>
    <w:rsid w:val="00BF33F6"/>
    <w:rsid w:val="00C0016B"/>
    <w:rsid w:val="00C033F2"/>
    <w:rsid w:val="00C037B7"/>
    <w:rsid w:val="00C069CC"/>
    <w:rsid w:val="00C10A5A"/>
    <w:rsid w:val="00C1542B"/>
    <w:rsid w:val="00C23C95"/>
    <w:rsid w:val="00C414B0"/>
    <w:rsid w:val="00C67444"/>
    <w:rsid w:val="00C802F0"/>
    <w:rsid w:val="00CB39DE"/>
    <w:rsid w:val="00CD2BD0"/>
    <w:rsid w:val="00CD4001"/>
    <w:rsid w:val="00CD7147"/>
    <w:rsid w:val="00D05574"/>
    <w:rsid w:val="00D31FD3"/>
    <w:rsid w:val="00D33B30"/>
    <w:rsid w:val="00D343CB"/>
    <w:rsid w:val="00D44CB6"/>
    <w:rsid w:val="00D513A5"/>
    <w:rsid w:val="00D71012"/>
    <w:rsid w:val="00D76571"/>
    <w:rsid w:val="00D85E4D"/>
    <w:rsid w:val="00DB5E00"/>
    <w:rsid w:val="00E0556A"/>
    <w:rsid w:val="00E06B7E"/>
    <w:rsid w:val="00E102BA"/>
    <w:rsid w:val="00E22435"/>
    <w:rsid w:val="00E2563B"/>
    <w:rsid w:val="00E3235D"/>
    <w:rsid w:val="00E35A44"/>
    <w:rsid w:val="00E444C3"/>
    <w:rsid w:val="00E45A5F"/>
    <w:rsid w:val="00E51D9D"/>
    <w:rsid w:val="00E52340"/>
    <w:rsid w:val="00E53611"/>
    <w:rsid w:val="00E5412E"/>
    <w:rsid w:val="00E622D5"/>
    <w:rsid w:val="00E83075"/>
    <w:rsid w:val="00E85096"/>
    <w:rsid w:val="00E9196C"/>
    <w:rsid w:val="00EB54C4"/>
    <w:rsid w:val="00ED6D03"/>
    <w:rsid w:val="00EF5331"/>
    <w:rsid w:val="00F017C7"/>
    <w:rsid w:val="00F209F4"/>
    <w:rsid w:val="00F454D3"/>
    <w:rsid w:val="00F77CE0"/>
    <w:rsid w:val="00FB2959"/>
    <w:rsid w:val="00FC0599"/>
    <w:rsid w:val="00FC0641"/>
    <w:rsid w:val="00FE082F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658664DA-616B-45A8-94C1-8CB5D1B3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Servicedirectories/Documents/GMS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uploads/system/uploads/attachment_data/file/49469/the_armed_forces_covenant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ngland.nhs.uk/wp-content/uploads/2017/10/Guide-out-area-reg-1214.pdf" TargetMode="External"/><Relationship Id="rId1" Type="http://schemas.openxmlformats.org/officeDocument/2006/relationships/hyperlink" Target="http://www.legislation.gov.uk/ukpga/2006/41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E4D5-F4BB-48A6-93D8-2B463D09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Walsall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Katy Morson</cp:lastModifiedBy>
  <cp:revision>2</cp:revision>
  <cp:lastPrinted>2019-03-19T09:38:00Z</cp:lastPrinted>
  <dcterms:created xsi:type="dcterms:W3CDTF">2023-09-14T13:10:00Z</dcterms:created>
  <dcterms:modified xsi:type="dcterms:W3CDTF">2023-09-14T13:10:00Z</dcterms:modified>
</cp:coreProperties>
</file>